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35E39" w14:textId="464351A8" w:rsidR="0075771D" w:rsidRDefault="0075771D" w:rsidP="00097888">
      <w:pPr>
        <w:spacing w:line="276" w:lineRule="auto"/>
        <w:ind w:left="-1134" w:right="283"/>
        <w:jc w:val="center"/>
        <w:rPr>
          <w:rFonts w:ascii="Arial" w:hAnsi="Arial" w:cs="Arial"/>
          <w:b/>
          <w:bCs/>
          <w:sz w:val="22"/>
          <w:szCs w:val="22"/>
        </w:rPr>
      </w:pPr>
      <w:r>
        <w:rPr>
          <w:rFonts w:ascii="Arial" w:hAnsi="Arial" w:cs="Arial"/>
          <w:b/>
          <w:bCs/>
          <w:sz w:val="22"/>
          <w:szCs w:val="22"/>
        </w:rPr>
        <w:t>ANEXO I</w:t>
      </w:r>
    </w:p>
    <w:p w14:paraId="02487E93" w14:textId="25892DEB" w:rsidR="00763B09" w:rsidRPr="00CD5B61" w:rsidRDefault="00566E48" w:rsidP="00097888">
      <w:pPr>
        <w:spacing w:line="276" w:lineRule="auto"/>
        <w:ind w:left="-1134" w:right="283"/>
        <w:jc w:val="center"/>
        <w:rPr>
          <w:rFonts w:ascii="Arial" w:hAnsi="Arial" w:cs="Arial"/>
          <w:b/>
          <w:bCs/>
          <w:sz w:val="22"/>
          <w:szCs w:val="22"/>
        </w:rPr>
      </w:pPr>
      <w:r w:rsidRPr="00CD5B61">
        <w:rPr>
          <w:rFonts w:ascii="Arial" w:hAnsi="Arial" w:cs="Arial"/>
          <w:b/>
          <w:bCs/>
          <w:sz w:val="22"/>
          <w:szCs w:val="22"/>
        </w:rPr>
        <w:t>ESTUDO TÉCNICO PRELIMINAR</w:t>
      </w:r>
    </w:p>
    <w:p w14:paraId="4418FF7A" w14:textId="77777777" w:rsidR="004270D8" w:rsidRPr="00CD5B61" w:rsidRDefault="004270D8" w:rsidP="00097888">
      <w:pPr>
        <w:spacing w:line="276" w:lineRule="auto"/>
        <w:ind w:right="283"/>
        <w:rPr>
          <w:rFonts w:ascii="Arial" w:hAnsi="Arial" w:cs="Arial"/>
          <w:b/>
          <w:bCs/>
          <w:sz w:val="22"/>
          <w:szCs w:val="22"/>
        </w:rPr>
      </w:pPr>
    </w:p>
    <w:p w14:paraId="0E0DD2F3" w14:textId="230A65E3" w:rsidR="00EF136F" w:rsidRPr="00CD5B61" w:rsidRDefault="00566E48"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br/>
        <w:t xml:space="preserve">1 </w:t>
      </w:r>
      <w:r w:rsidR="00EF136F" w:rsidRPr="00CD5B61">
        <w:rPr>
          <w:rFonts w:ascii="Arial" w:hAnsi="Arial" w:cs="Arial"/>
          <w:b/>
          <w:bCs/>
          <w:sz w:val="22"/>
          <w:szCs w:val="22"/>
        </w:rPr>
        <w:t>–</w:t>
      </w:r>
      <w:r w:rsidRPr="00CD5B61">
        <w:rPr>
          <w:rFonts w:ascii="Arial" w:hAnsi="Arial" w:cs="Arial"/>
          <w:b/>
          <w:bCs/>
          <w:sz w:val="22"/>
          <w:szCs w:val="22"/>
        </w:rPr>
        <w:t xml:space="preserve"> </w:t>
      </w:r>
      <w:r w:rsidR="00EF136F" w:rsidRPr="00CD5B61">
        <w:rPr>
          <w:rFonts w:ascii="Arial" w:hAnsi="Arial" w:cs="Arial"/>
          <w:b/>
          <w:bCs/>
          <w:sz w:val="22"/>
          <w:szCs w:val="22"/>
        </w:rPr>
        <w:t>OBJETO DA CONTRATAÇÃO</w:t>
      </w:r>
    </w:p>
    <w:p w14:paraId="60F37C7F" w14:textId="77777777" w:rsidR="00745C68" w:rsidRPr="00CD5B61" w:rsidRDefault="00745C68" w:rsidP="00097888">
      <w:pPr>
        <w:spacing w:line="276" w:lineRule="auto"/>
        <w:ind w:left="-1134" w:right="283"/>
        <w:jc w:val="both"/>
        <w:rPr>
          <w:rFonts w:ascii="Arial" w:hAnsi="Arial" w:cs="Arial"/>
          <w:b/>
          <w:bCs/>
          <w:sz w:val="22"/>
          <w:szCs w:val="22"/>
        </w:rPr>
      </w:pPr>
    </w:p>
    <w:p w14:paraId="3266BAF3" w14:textId="09BC3B8C" w:rsidR="00F835D7" w:rsidRPr="00CD5B61" w:rsidRDefault="00B820C9" w:rsidP="00097888">
      <w:pPr>
        <w:spacing w:line="276" w:lineRule="auto"/>
        <w:ind w:left="-1134" w:right="283"/>
        <w:jc w:val="both"/>
        <w:rPr>
          <w:rFonts w:ascii="Arial" w:hAnsi="Arial" w:cs="Arial"/>
          <w:sz w:val="22"/>
          <w:szCs w:val="22"/>
        </w:rPr>
      </w:pPr>
      <w:r w:rsidRPr="00CD5B61">
        <w:rPr>
          <w:rFonts w:ascii="Arial" w:hAnsi="Arial" w:cs="Arial"/>
          <w:sz w:val="22"/>
          <w:szCs w:val="22"/>
        </w:rPr>
        <w:t>O presente Estudo Técnico Preliminar tem por objeto analisar a viabilidade da futura contratação visando atender às necessidades do Município de Vera Cruz do Oeste – PR quanto ao fornecimento de materiais e equipamentos destinados à segurança e prevenção contra incêndio nos prédios públicos municipais, buscando garantir melhores condições de segurança aos servidores, colaboradores, usuários dos serviços públicos e ao patrimônio público.</w:t>
      </w:r>
    </w:p>
    <w:p w14:paraId="2A1EC2B6" w14:textId="77777777" w:rsidR="00296A3B" w:rsidRPr="00CD5B61" w:rsidRDefault="00296A3B" w:rsidP="00097888">
      <w:pPr>
        <w:spacing w:line="276" w:lineRule="auto"/>
        <w:ind w:left="-1134" w:right="283"/>
        <w:jc w:val="both"/>
        <w:rPr>
          <w:rFonts w:ascii="Arial" w:hAnsi="Arial" w:cs="Arial"/>
          <w:b/>
          <w:bCs/>
          <w:sz w:val="22"/>
          <w:szCs w:val="22"/>
        </w:rPr>
      </w:pPr>
    </w:p>
    <w:p w14:paraId="19BE10C0" w14:textId="508F80E2" w:rsidR="00745C68" w:rsidRPr="00CD5B61" w:rsidRDefault="00296A3B"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2 – SECRETARIA REQUISITANTE</w:t>
      </w:r>
    </w:p>
    <w:p w14:paraId="7143AEBE" w14:textId="00CEA075" w:rsidR="00296A3B" w:rsidRPr="00CD5B61" w:rsidRDefault="00B820C9" w:rsidP="00097888">
      <w:pPr>
        <w:spacing w:line="276" w:lineRule="auto"/>
        <w:ind w:left="-1134" w:right="283"/>
        <w:jc w:val="both"/>
        <w:rPr>
          <w:rFonts w:ascii="Arial" w:hAnsi="Arial" w:cs="Arial"/>
          <w:bCs/>
          <w:sz w:val="22"/>
          <w:szCs w:val="22"/>
        </w:rPr>
      </w:pPr>
      <w:r w:rsidRPr="00CD5B61">
        <w:rPr>
          <w:rFonts w:ascii="Arial" w:hAnsi="Arial" w:cs="Arial"/>
          <w:bCs/>
          <w:sz w:val="22"/>
          <w:szCs w:val="22"/>
        </w:rPr>
        <w:t>Secretaria de Administração.</w:t>
      </w:r>
    </w:p>
    <w:p w14:paraId="59B30A6F" w14:textId="77777777" w:rsidR="00296A3B" w:rsidRPr="00CD5B61" w:rsidRDefault="00296A3B" w:rsidP="00097888">
      <w:pPr>
        <w:spacing w:line="276" w:lineRule="auto"/>
        <w:ind w:right="283"/>
        <w:jc w:val="both"/>
        <w:rPr>
          <w:rFonts w:ascii="Arial" w:hAnsi="Arial" w:cs="Arial"/>
          <w:b/>
          <w:bCs/>
          <w:sz w:val="22"/>
          <w:szCs w:val="22"/>
        </w:rPr>
      </w:pPr>
    </w:p>
    <w:p w14:paraId="058486C5" w14:textId="5A142035" w:rsidR="000A5D62" w:rsidRPr="00CD5B61" w:rsidRDefault="00296A3B"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3</w:t>
      </w:r>
      <w:r w:rsidR="00EF136F" w:rsidRPr="00CD5B61">
        <w:rPr>
          <w:rFonts w:ascii="Arial" w:hAnsi="Arial" w:cs="Arial"/>
          <w:b/>
          <w:bCs/>
          <w:sz w:val="22"/>
          <w:szCs w:val="22"/>
        </w:rPr>
        <w:t xml:space="preserve"> – </w:t>
      </w:r>
      <w:r w:rsidR="00B86098" w:rsidRPr="00CD5B61">
        <w:rPr>
          <w:rFonts w:ascii="Arial" w:hAnsi="Arial" w:cs="Arial"/>
          <w:b/>
          <w:bCs/>
          <w:sz w:val="22"/>
          <w:szCs w:val="22"/>
        </w:rPr>
        <w:t>DESCRIÇÃO DA</w:t>
      </w:r>
      <w:r w:rsidR="00566E48" w:rsidRPr="00CD5B61">
        <w:rPr>
          <w:rFonts w:ascii="Arial" w:hAnsi="Arial" w:cs="Arial"/>
          <w:b/>
          <w:bCs/>
          <w:sz w:val="22"/>
          <w:szCs w:val="22"/>
        </w:rPr>
        <w:t xml:space="preserve"> NECESSIDADE</w:t>
      </w:r>
    </w:p>
    <w:p w14:paraId="78C96168"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A presente contratação decorre da necessidade de garantir condições adequadas de segurança e prevenção contra incêndio nos prédios públicos pertencentes ao Município de Vera Cruz do Oeste – PR, visando assegurar maior proteção à integridade física de servidores, colaboradores, usuários dos serviços públicos e ao patrimônio público municipal.</w:t>
      </w:r>
    </w:p>
    <w:p w14:paraId="60AAB875"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Atualmente, verifica-se a necessidade de disponibilização e reposição de materiais e equipamentos destinados à prevenção e combate inicial a princípios de incêndio, considerando a importância da adoção de medidas preventivas capazes de minimizar riscos, possibilitar resposta imediata em situações emergenciais e atender às exigências legais e normas técnicas aplicáveis à segurança contra incêndio.</w:t>
      </w:r>
    </w:p>
    <w:p w14:paraId="10734D14"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A ausência, insuficiência ou inadequação desses materiais e equipamentos pode comprometer a segurança dos ambientes públicos, aumentar os riscos de danos materiais e colocar em risco a integridade das pessoas que frequentam os prédios públicos municipais diariamente.</w:t>
      </w:r>
    </w:p>
    <w:p w14:paraId="3260B34F"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A demanda envolve diversos setores da Administração Municipal, abrangendo prédios administrativos, unidades de saúde, escolas, espaços esportivos, centros de atendimento ao público e demais imóveis utilizados pela Administração, os quais necessitam manter condições mínimas de segurança e prevenção conforme suas características e necessidades específicas.</w:t>
      </w:r>
    </w:p>
    <w:p w14:paraId="42CBBCA2"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Dentre os principais fatores que justificam a necessidade da contratação, destacam-se:</w:t>
      </w:r>
    </w:p>
    <w:p w14:paraId="1D107203" w14:textId="77777777" w:rsidR="00B820C9" w:rsidRPr="00B820C9" w:rsidRDefault="00B820C9" w:rsidP="00097888">
      <w:pPr>
        <w:numPr>
          <w:ilvl w:val="0"/>
          <w:numId w:val="20"/>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necessidade de adequação às normas de segurança e prevenção contra incêndio; </w:t>
      </w:r>
    </w:p>
    <w:p w14:paraId="1AF2AACB" w14:textId="77777777" w:rsidR="00B820C9" w:rsidRPr="00B820C9" w:rsidRDefault="00B820C9" w:rsidP="00097888">
      <w:pPr>
        <w:numPr>
          <w:ilvl w:val="0"/>
          <w:numId w:val="20"/>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preservação do patrimônio público municipal; </w:t>
      </w:r>
    </w:p>
    <w:p w14:paraId="6A8EEF15" w14:textId="77777777" w:rsidR="00B820C9" w:rsidRPr="00B820C9" w:rsidRDefault="00B820C9" w:rsidP="00097888">
      <w:pPr>
        <w:numPr>
          <w:ilvl w:val="0"/>
          <w:numId w:val="20"/>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proteção da integridade física de servidores, colaboradores e munícipes; </w:t>
      </w:r>
    </w:p>
    <w:p w14:paraId="0876E175" w14:textId="77777777" w:rsidR="00B820C9" w:rsidRPr="00B820C9" w:rsidRDefault="00B820C9" w:rsidP="00097888">
      <w:pPr>
        <w:numPr>
          <w:ilvl w:val="0"/>
          <w:numId w:val="20"/>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redução de riscos em situações emergenciais; </w:t>
      </w:r>
    </w:p>
    <w:p w14:paraId="53B3FD66" w14:textId="77777777" w:rsidR="00B820C9" w:rsidRPr="00B820C9" w:rsidRDefault="00B820C9" w:rsidP="00097888">
      <w:pPr>
        <w:numPr>
          <w:ilvl w:val="0"/>
          <w:numId w:val="20"/>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necessidade de reposição de equipamentos e materiais desgastados, vencidos ou inadequados; </w:t>
      </w:r>
    </w:p>
    <w:p w14:paraId="3B0D1F3A" w14:textId="77777777" w:rsidR="00B820C9" w:rsidRPr="00B820C9" w:rsidRDefault="00B820C9" w:rsidP="00097888">
      <w:pPr>
        <w:numPr>
          <w:ilvl w:val="0"/>
          <w:numId w:val="20"/>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e manutenção das condições mínimas de segurança nos ambientes públicos municipais. </w:t>
      </w:r>
    </w:p>
    <w:p w14:paraId="0173C080"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Com a futura contratação, espera-se proporcionar melhores condições de segurança nos prédios públicos municipais, ampliar a capacidade de resposta em situações emergenciais, reduzir riscos de acidentes e contribuir para a continuidade adequada das atividades desenvolvidas pela Administração Municipal.</w:t>
      </w:r>
    </w:p>
    <w:p w14:paraId="52D31F70" w14:textId="498B08C3" w:rsidR="00E94D14" w:rsidRPr="00CD5B61" w:rsidRDefault="00B11FD0"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lastRenderedPageBreak/>
        <w:br/>
      </w:r>
      <w:r w:rsidR="00EF136F" w:rsidRPr="00CD5B61">
        <w:rPr>
          <w:rFonts w:ascii="Arial" w:hAnsi="Arial" w:cs="Arial"/>
          <w:b/>
          <w:bCs/>
          <w:sz w:val="22"/>
          <w:szCs w:val="22"/>
        </w:rPr>
        <w:t>4</w:t>
      </w:r>
      <w:r w:rsidR="00566E48" w:rsidRPr="00CD5B61">
        <w:rPr>
          <w:rFonts w:ascii="Arial" w:hAnsi="Arial" w:cs="Arial"/>
          <w:b/>
          <w:bCs/>
          <w:sz w:val="22"/>
          <w:szCs w:val="22"/>
        </w:rPr>
        <w:t xml:space="preserve"> –</w:t>
      </w:r>
      <w:r w:rsidR="00EF136F" w:rsidRPr="00CD5B61">
        <w:rPr>
          <w:rFonts w:ascii="Arial" w:hAnsi="Arial" w:cs="Arial"/>
          <w:b/>
          <w:bCs/>
          <w:sz w:val="22"/>
          <w:szCs w:val="22"/>
        </w:rPr>
        <w:t xml:space="preserve"> DESCRIÇÃO DOS </w:t>
      </w:r>
      <w:r w:rsidR="00566E48" w:rsidRPr="00CD5B61">
        <w:rPr>
          <w:rFonts w:ascii="Arial" w:hAnsi="Arial" w:cs="Arial"/>
          <w:b/>
          <w:bCs/>
          <w:sz w:val="22"/>
          <w:szCs w:val="22"/>
        </w:rPr>
        <w:t>REQUISITOS DA CONTRATAÇÃO</w:t>
      </w:r>
    </w:p>
    <w:p w14:paraId="06C67CDC"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A futura contratação deverá contemplar o fornecimento de materiais e equipamentos destinados à segurança e prevenção contra incêndio para utilização nos prédios públicos do Município de Vera Cruz do Oeste – PR.</w:t>
      </w:r>
    </w:p>
    <w:p w14:paraId="07B0B591"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Os itens deverão atender integralmente às normas técnicas e regulamentações vigentes aplicáveis, especialmente às Normas de Procedimentos Técnicos – NPT do Corpo de Bombeiros Militar do Paraná, normas da ABNT, exigências do INMETRO e demais legislações pertinentes à segurança e prevenção contra incêndio.</w:t>
      </w:r>
    </w:p>
    <w:p w14:paraId="213228E6"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Os materiais e equipamentos deverão ser novos, sem uso, em perfeitas condições de utilização, devidamente acondicionados e livres de defeitos de fabricação.</w:t>
      </w:r>
    </w:p>
    <w:p w14:paraId="1C57B7A4"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Os itens deverão possuir padrão mínimo de qualidade e desempenho compatível com as finalidades pretendidas pela Administração Municipal, garantindo segurança, durabilidade, eficiência e conformidade técnica.</w:t>
      </w:r>
    </w:p>
    <w:p w14:paraId="6C2CD39F"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Os equipamentos e materiais deverão conter identificação, certificações, selos, informações técnicas e demais elementos exigidos pelos órgãos reguladores e normas técnicas aplicáveis ao objeto.</w:t>
      </w:r>
    </w:p>
    <w:p w14:paraId="0EBF766F"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A contratação deverá observar ainda os seguintes requisitos:</w:t>
      </w:r>
    </w:p>
    <w:p w14:paraId="622F3F56" w14:textId="77777777" w:rsidR="00B820C9" w:rsidRPr="00B820C9" w:rsidRDefault="00B820C9" w:rsidP="00097888">
      <w:pPr>
        <w:numPr>
          <w:ilvl w:val="0"/>
          <w:numId w:val="21"/>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fornecimento conforme demanda da Administração Municipal; </w:t>
      </w:r>
    </w:p>
    <w:p w14:paraId="499DBD3A" w14:textId="77777777" w:rsidR="00B820C9" w:rsidRPr="00B820C9" w:rsidRDefault="00B820C9" w:rsidP="00097888">
      <w:pPr>
        <w:numPr>
          <w:ilvl w:val="0"/>
          <w:numId w:val="21"/>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atendimento às especificações técnicas que serão definidas no Termo de Referência; </w:t>
      </w:r>
    </w:p>
    <w:p w14:paraId="437144FE" w14:textId="77777777" w:rsidR="00B820C9" w:rsidRPr="00B820C9" w:rsidRDefault="00B820C9" w:rsidP="00097888">
      <w:pPr>
        <w:numPr>
          <w:ilvl w:val="0"/>
          <w:numId w:val="21"/>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observância das normas técnicas relativas à prevenção e combate a incêndio; </w:t>
      </w:r>
    </w:p>
    <w:p w14:paraId="6B70A5D4" w14:textId="77777777" w:rsidR="00B820C9" w:rsidRPr="00B820C9" w:rsidRDefault="00B820C9" w:rsidP="00097888">
      <w:pPr>
        <w:numPr>
          <w:ilvl w:val="0"/>
          <w:numId w:val="21"/>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garantia contra defeitos de fabricação; </w:t>
      </w:r>
    </w:p>
    <w:p w14:paraId="5B96A2E3" w14:textId="77777777" w:rsidR="00B820C9" w:rsidRPr="00B820C9" w:rsidRDefault="00B820C9" w:rsidP="00097888">
      <w:pPr>
        <w:numPr>
          <w:ilvl w:val="0"/>
          <w:numId w:val="21"/>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entrega em condições adequadas de transporte e armazenamento; </w:t>
      </w:r>
    </w:p>
    <w:p w14:paraId="3CF3B575" w14:textId="77777777" w:rsidR="00B820C9" w:rsidRPr="00B820C9" w:rsidRDefault="00B820C9" w:rsidP="00097888">
      <w:pPr>
        <w:numPr>
          <w:ilvl w:val="0"/>
          <w:numId w:val="21"/>
        </w:numPr>
        <w:tabs>
          <w:tab w:val="clear" w:pos="720"/>
          <w:tab w:val="num" w:pos="-993"/>
        </w:tabs>
        <w:spacing w:line="276" w:lineRule="auto"/>
        <w:ind w:left="-1134" w:right="283" w:hanging="11"/>
        <w:jc w:val="both"/>
        <w:rPr>
          <w:rFonts w:ascii="Arial" w:hAnsi="Arial" w:cs="Arial"/>
          <w:sz w:val="22"/>
          <w:szCs w:val="22"/>
        </w:rPr>
      </w:pPr>
      <w:r w:rsidRPr="00B820C9">
        <w:rPr>
          <w:rFonts w:ascii="Arial" w:hAnsi="Arial" w:cs="Arial"/>
          <w:sz w:val="22"/>
          <w:szCs w:val="22"/>
        </w:rPr>
        <w:t xml:space="preserve">substituição de itens entregues em desacordo com as especificações ou que apresentem defeitos, avarias ou irregularidades; </w:t>
      </w:r>
    </w:p>
    <w:p w14:paraId="6C851EEB" w14:textId="77777777" w:rsidR="00B820C9" w:rsidRPr="00B820C9" w:rsidRDefault="00B820C9" w:rsidP="00097888">
      <w:pPr>
        <w:numPr>
          <w:ilvl w:val="0"/>
          <w:numId w:val="21"/>
        </w:numPr>
        <w:tabs>
          <w:tab w:val="clear" w:pos="720"/>
          <w:tab w:val="num" w:pos="-993"/>
        </w:tabs>
        <w:spacing w:line="276" w:lineRule="auto"/>
        <w:ind w:left="-1134" w:right="283" w:firstLine="0"/>
        <w:jc w:val="both"/>
        <w:rPr>
          <w:rFonts w:ascii="Arial" w:hAnsi="Arial" w:cs="Arial"/>
          <w:sz w:val="22"/>
          <w:szCs w:val="22"/>
        </w:rPr>
      </w:pPr>
      <w:r w:rsidRPr="00B820C9">
        <w:rPr>
          <w:rFonts w:ascii="Arial" w:hAnsi="Arial" w:cs="Arial"/>
          <w:sz w:val="22"/>
          <w:szCs w:val="22"/>
        </w:rPr>
        <w:t xml:space="preserve">e cumprimento dos prazos e condições de entrega estabelecidos pela Administração. </w:t>
      </w:r>
    </w:p>
    <w:p w14:paraId="4A002045" w14:textId="77777777" w:rsidR="00B820C9" w:rsidRPr="00B820C9"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Não haverá exigência de marca específica, devendo os produtos atenderem às especificações mínimas de qualidade, desempenho e segurança estabelecidas no Termo de Referência, observando os princípios da competitividade, economicidade e interesse público.</w:t>
      </w:r>
    </w:p>
    <w:p w14:paraId="62A291B0" w14:textId="1CC1C42C" w:rsidR="00E94D14" w:rsidRPr="00CD5B61" w:rsidRDefault="00B820C9" w:rsidP="00097888">
      <w:pPr>
        <w:spacing w:line="276" w:lineRule="auto"/>
        <w:ind w:left="-1134" w:right="283"/>
        <w:jc w:val="both"/>
        <w:rPr>
          <w:rFonts w:ascii="Arial" w:hAnsi="Arial" w:cs="Arial"/>
          <w:sz w:val="22"/>
          <w:szCs w:val="22"/>
        </w:rPr>
      </w:pPr>
      <w:r w:rsidRPr="00B820C9">
        <w:rPr>
          <w:rFonts w:ascii="Arial" w:hAnsi="Arial" w:cs="Arial"/>
          <w:sz w:val="22"/>
          <w:szCs w:val="22"/>
        </w:rPr>
        <w:t>Os quantitativos, especificações detalhadas, locais de entrega e demais condições da contratação serão definidos posteriormente no Termo de Referência, conforme levantamento técnico realizado pela Administração Municipal.</w:t>
      </w:r>
    </w:p>
    <w:p w14:paraId="708E5217" w14:textId="77777777" w:rsidR="00E94D14" w:rsidRPr="00CD5B61" w:rsidRDefault="00E94D14" w:rsidP="00097888">
      <w:pPr>
        <w:spacing w:line="276" w:lineRule="auto"/>
        <w:ind w:left="-1134" w:right="283"/>
        <w:jc w:val="both"/>
        <w:rPr>
          <w:rFonts w:ascii="Arial" w:hAnsi="Arial" w:cs="Arial"/>
          <w:b/>
          <w:bCs/>
          <w:sz w:val="22"/>
          <w:szCs w:val="22"/>
        </w:rPr>
      </w:pPr>
    </w:p>
    <w:p w14:paraId="25F74350" w14:textId="77387AC4" w:rsidR="009833E8" w:rsidRPr="00CD5B61" w:rsidRDefault="00EF136F"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5</w:t>
      </w:r>
      <w:r w:rsidR="00566E48" w:rsidRPr="00CD5B61">
        <w:rPr>
          <w:rFonts w:ascii="Arial" w:hAnsi="Arial" w:cs="Arial"/>
          <w:b/>
          <w:bCs/>
          <w:sz w:val="22"/>
          <w:szCs w:val="22"/>
        </w:rPr>
        <w:t xml:space="preserve"> – LEVANTAMENTO DE MERCADO</w:t>
      </w:r>
    </w:p>
    <w:p w14:paraId="65FE0AF1"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Com o objetivo de identificar as soluções disponíveis no mercado capazes de atender às necessidades da Administração Municipal quanto à segurança e prevenção contra incêndio nos prédios públicos municipais, realizou-se levantamento de mercado considerando contratações similares realizadas por outros órgãos públicos, pesquisas em sistemas oficiais de compras públicas e análise das soluções normalmente adotadas pela Administração Pública para atendimento desse tipo de demanda.</w:t>
      </w:r>
    </w:p>
    <w:p w14:paraId="5DF6A587"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 xml:space="preserve">Verificou-se que o mercado disponibiliza ampla variedade de materiais e equipamentos destinados à prevenção e combate inicial a incêndio, incluindo placas de sinalização fotoluminescente, extintores, luminárias de emergência, mangueiras de hidrante, esguichos e demais itens correlatos, atendendo às exigências técnicas estabelecidas pelas Normas de Procedimentos Técnicos – NPT do Corpo de Bombeiros Militar do Paraná, normas da ABNT, INMETRO e demais regulamentações aplicáveis. </w:t>
      </w:r>
    </w:p>
    <w:p w14:paraId="5A390E0C"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lastRenderedPageBreak/>
        <w:t>A pesquisa de mercado foi realizada mediante consulta em diferentes fontes oficiais e sistemas de compras públicas, incluindo:</w:t>
      </w:r>
    </w:p>
    <w:p w14:paraId="59DCD2AD"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Portal Nacional de Contratações Públicas – PNCP; </w:t>
      </w:r>
    </w:p>
    <w:p w14:paraId="078B1B68"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Tribunal de Contas do Estado do Paraná – TCE/PR; </w:t>
      </w:r>
    </w:p>
    <w:p w14:paraId="7EA70F1D"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Portal de Compras Públicas; </w:t>
      </w:r>
    </w:p>
    <w:p w14:paraId="69FBBD6D"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BLL Compras; </w:t>
      </w:r>
    </w:p>
    <w:p w14:paraId="799EDC08"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proofErr w:type="spellStart"/>
      <w:r w:rsidRPr="009833E8">
        <w:rPr>
          <w:rFonts w:ascii="Arial" w:hAnsi="Arial" w:cs="Arial"/>
          <w:sz w:val="22"/>
          <w:szCs w:val="22"/>
        </w:rPr>
        <w:t>Licitanet</w:t>
      </w:r>
      <w:proofErr w:type="spellEnd"/>
      <w:r w:rsidRPr="009833E8">
        <w:rPr>
          <w:rFonts w:ascii="Arial" w:hAnsi="Arial" w:cs="Arial"/>
          <w:sz w:val="22"/>
          <w:szCs w:val="22"/>
        </w:rPr>
        <w:t xml:space="preserve">; </w:t>
      </w:r>
    </w:p>
    <w:p w14:paraId="5E6C0C26"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Banco de preços e sistemas de pesquisa; </w:t>
      </w:r>
    </w:p>
    <w:p w14:paraId="721B07B6"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contratações similares realizadas por Municípios e órgãos públicos; </w:t>
      </w:r>
    </w:p>
    <w:p w14:paraId="1203BF44" w14:textId="77777777" w:rsidR="009833E8" w:rsidRPr="009833E8" w:rsidRDefault="009833E8" w:rsidP="00097888">
      <w:pPr>
        <w:numPr>
          <w:ilvl w:val="0"/>
          <w:numId w:val="24"/>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e pesquisa unificada elaborada pelo sistema LF Sistemas Ltda. </w:t>
      </w:r>
    </w:p>
    <w:p w14:paraId="34CD47C8"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Durante o levantamento de mercado, observou-se que a solução mais utilizada pela Administração Pública para atendimento desse tipo de necessidade consiste na aquisição parcelada de materiais e equipamentos por meio do Sistema de Registro de Preços – SRP, possibilitando maior eficiência na gestão dos quantitativos, economicidade e fornecimento conforme demanda da Administração.</w:t>
      </w:r>
    </w:p>
    <w:p w14:paraId="42478059"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Também foram identificadas diversas contratações similares realizadas recentemente por outros órgãos e entidades públicas utilizando o Sistema de Registro de Preços – SRP para aquisição de materiais e equipamentos de prevenção contra incêndio, dentre as quais destacam-se:</w:t>
      </w:r>
    </w:p>
    <w:p w14:paraId="4C13B51E"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Matelândia – PR – Pregão Eletrônico nº 83/2025, destinado à aquisição de placas fotoluminescentes de sinalização de emergência e prevenção contra incêndio. </w:t>
      </w:r>
    </w:p>
    <w:p w14:paraId="2B18111F"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Terra Rica – PR – Pregão Eletrônico nº 76/2025, visando aquisição de placas indicativas de saída de emergência, placas fotoluminescentes, extintores de incêndio e materiais correlatos destinados à adequação das edificações públicas às normas do Corpo de Bombeiros. </w:t>
      </w:r>
    </w:p>
    <w:p w14:paraId="5555A834"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Pinhais – PR – Pregão Eletrônico nº 14/2026, destinado à aquisição de placas de sinalização de emergência, mangueiras de hidrante e materiais de combate e prevenção contra incêndio para atendimento das unidades públicas municipais. </w:t>
      </w:r>
    </w:p>
    <w:p w14:paraId="5222B9D7"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Toledo – PR – Pregão nº 59/2025, destinado à aquisição de placas fotoluminescentes, mangueiras de hidrante e sinalizações de equipamentos de combate a incêndio conforme normas da ABNT e Corpo de Bombeiros. </w:t>
      </w:r>
    </w:p>
    <w:p w14:paraId="19405CFA"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Assis Chateaubriand – PR – Pregão Eletrônico nº 06/2026, destinado à aquisição de mangueiras para hidrantes e equipamentos de prevenção e combate a incêndio para utilização nos prédios públicos municipais. </w:t>
      </w:r>
    </w:p>
    <w:p w14:paraId="553B9D90"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Boa Esperança do Iguaçu – PR – Pregão nº 53/2025, visando aquisição de luminárias de emergência, mangueiras de hidrante e materiais de sinalização e prevenção contra incêndio. </w:t>
      </w:r>
    </w:p>
    <w:p w14:paraId="6B1886BC"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Prudentópolis – PR – Pregão nº 125/2025, destinado à aquisição de placas fotoluminescentes de identificação de extintores e sinalização de emergência para adequação das edificações públicas. </w:t>
      </w:r>
    </w:p>
    <w:p w14:paraId="26F5C9F1"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Missal – PR – Pregão nº 65/2025, visando aquisição de placas de sinalização de equipamentos de combate a incêndio, alarme e hidrantes conforme NPT 020 do Corpo de Bombeiros Militar do Paraná. </w:t>
      </w:r>
    </w:p>
    <w:p w14:paraId="3E50EEE7" w14:textId="77777777" w:rsidR="009833E8" w:rsidRPr="009833E8" w:rsidRDefault="009833E8" w:rsidP="00097888">
      <w:pPr>
        <w:numPr>
          <w:ilvl w:val="0"/>
          <w:numId w:val="25"/>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Município de Lindoeste – PR – Pregão nº 66/2025, destinado à aquisição de placas de identificação e sinalização de equipamentos de combate a incêndio para utilização nas edificações públicas municipais. </w:t>
      </w:r>
    </w:p>
    <w:p w14:paraId="41E9F147"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lastRenderedPageBreak/>
        <w:t>A análise das contratações similares demonstrou que a utilização do Sistema de Registro de Preços apresenta-se como solução amplamente utilizada e adequada para objetos dessa natureza, especialmente em razão:</w:t>
      </w:r>
    </w:p>
    <w:p w14:paraId="46DA1712" w14:textId="77777777" w:rsidR="009833E8" w:rsidRPr="009833E8" w:rsidRDefault="009833E8" w:rsidP="00097888">
      <w:pPr>
        <w:numPr>
          <w:ilvl w:val="0"/>
          <w:numId w:val="26"/>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impossibilidade de definição exata dos quantitativos a serem utilizados durante a vigência da contratação; </w:t>
      </w:r>
    </w:p>
    <w:p w14:paraId="37B3E50E" w14:textId="77777777" w:rsidR="009833E8" w:rsidRPr="009833E8" w:rsidRDefault="009833E8" w:rsidP="00097888">
      <w:pPr>
        <w:numPr>
          <w:ilvl w:val="0"/>
          <w:numId w:val="26"/>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necessidade de aquisições futuras e parceladas conforme demanda da Administração; </w:t>
      </w:r>
    </w:p>
    <w:p w14:paraId="0B6729EC" w14:textId="77777777" w:rsidR="009833E8" w:rsidRPr="009833E8" w:rsidRDefault="009833E8" w:rsidP="00097888">
      <w:pPr>
        <w:numPr>
          <w:ilvl w:val="0"/>
          <w:numId w:val="26"/>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variedade de itens envolvidos; </w:t>
      </w:r>
    </w:p>
    <w:p w14:paraId="0FC0026D" w14:textId="77777777" w:rsidR="009833E8" w:rsidRPr="009833E8" w:rsidRDefault="009833E8" w:rsidP="00097888">
      <w:pPr>
        <w:numPr>
          <w:ilvl w:val="0"/>
          <w:numId w:val="26"/>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possibilidade de melhor gestão dos estoques e quantitativos; </w:t>
      </w:r>
    </w:p>
    <w:p w14:paraId="5429D235" w14:textId="77777777" w:rsidR="009833E8" w:rsidRPr="009833E8" w:rsidRDefault="009833E8" w:rsidP="00097888">
      <w:pPr>
        <w:numPr>
          <w:ilvl w:val="0"/>
          <w:numId w:val="26"/>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e da maior economicidade na utilização dos recursos públicos. </w:t>
      </w:r>
    </w:p>
    <w:p w14:paraId="63722773"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Também foi constatado que os itens pretendidos possuem natureza comum e ampla oferta no mercado, não sendo identificada restrição relevante de fornecedores aptos ao atendimento da futura contratação, preservando-se a competitividade do certame.</w:t>
      </w:r>
    </w:p>
    <w:p w14:paraId="2D604BB5"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Dentre as alternativas analisadas pela Administração, destacam-se:</w:t>
      </w:r>
    </w:p>
    <w:p w14:paraId="62452BEE" w14:textId="77777777" w:rsidR="009833E8" w:rsidRPr="009833E8" w:rsidRDefault="009833E8" w:rsidP="00097888">
      <w:pPr>
        <w:numPr>
          <w:ilvl w:val="0"/>
          <w:numId w:val="27"/>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aquisição parcelada conforme demanda da Administração; </w:t>
      </w:r>
    </w:p>
    <w:p w14:paraId="12B326C0" w14:textId="77777777" w:rsidR="009833E8" w:rsidRPr="009833E8" w:rsidRDefault="009833E8" w:rsidP="00097888">
      <w:pPr>
        <w:numPr>
          <w:ilvl w:val="0"/>
          <w:numId w:val="27"/>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aquisição única com fornecimento integral; </w:t>
      </w:r>
    </w:p>
    <w:p w14:paraId="7DE24CB1" w14:textId="77777777" w:rsidR="009833E8" w:rsidRPr="009833E8" w:rsidRDefault="009833E8" w:rsidP="00097888">
      <w:pPr>
        <w:numPr>
          <w:ilvl w:val="0"/>
          <w:numId w:val="27"/>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contratação individualizada por item; </w:t>
      </w:r>
    </w:p>
    <w:p w14:paraId="3934A534" w14:textId="19D42A48" w:rsidR="009833E8" w:rsidRPr="009833E8" w:rsidRDefault="009833E8" w:rsidP="00097888">
      <w:pPr>
        <w:numPr>
          <w:ilvl w:val="0"/>
          <w:numId w:val="27"/>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e utilização de Sistema de Registro de Preços para futuras aquisições conforme necessidade da Administração. </w:t>
      </w:r>
    </w:p>
    <w:p w14:paraId="736E7D81"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 xml:space="preserve">Considerando as características da demanda, a necessidade de aquisições futuras conforme </w:t>
      </w:r>
      <w:proofErr w:type="gramStart"/>
      <w:r w:rsidRPr="009833E8">
        <w:rPr>
          <w:rFonts w:ascii="Arial" w:hAnsi="Arial" w:cs="Arial"/>
          <w:sz w:val="22"/>
          <w:szCs w:val="22"/>
        </w:rPr>
        <w:t>consumo e utilização dos materiais, bem como a diversidade dos itens envolvidos, verificou-se</w:t>
      </w:r>
      <w:proofErr w:type="gramEnd"/>
      <w:r w:rsidRPr="009833E8">
        <w:rPr>
          <w:rFonts w:ascii="Arial" w:hAnsi="Arial" w:cs="Arial"/>
          <w:sz w:val="22"/>
          <w:szCs w:val="22"/>
        </w:rPr>
        <w:t xml:space="preserve"> que a solução mais vantajosa para a Administração será detalhada posteriormente no tópico referente à descrição da solução como um todo.</w:t>
      </w:r>
    </w:p>
    <w:p w14:paraId="151C0A84" w14:textId="77777777" w:rsidR="009833E8" w:rsidRPr="00CD5B61" w:rsidRDefault="009833E8" w:rsidP="00097888">
      <w:pPr>
        <w:spacing w:line="276" w:lineRule="auto"/>
        <w:ind w:left="-1134" w:right="283"/>
        <w:jc w:val="both"/>
        <w:rPr>
          <w:rFonts w:ascii="Arial" w:hAnsi="Arial" w:cs="Arial"/>
          <w:sz w:val="22"/>
          <w:szCs w:val="22"/>
        </w:rPr>
      </w:pPr>
    </w:p>
    <w:p w14:paraId="021AF891" w14:textId="29FF7E72" w:rsidR="00D06C17" w:rsidRPr="00CD5B61" w:rsidRDefault="00566E48" w:rsidP="00097888">
      <w:pPr>
        <w:spacing w:line="276" w:lineRule="auto"/>
        <w:ind w:left="-1134" w:right="283"/>
        <w:jc w:val="both"/>
        <w:rPr>
          <w:rFonts w:ascii="Arial" w:hAnsi="Arial" w:cs="Arial"/>
          <w:b/>
          <w:bCs/>
          <w:sz w:val="22"/>
          <w:szCs w:val="22"/>
        </w:rPr>
      </w:pPr>
      <w:r w:rsidRPr="00CD5B61">
        <w:rPr>
          <w:rFonts w:ascii="Arial" w:hAnsi="Arial" w:cs="Arial"/>
          <w:sz w:val="22"/>
          <w:szCs w:val="22"/>
        </w:rPr>
        <w:br/>
      </w:r>
      <w:r w:rsidR="00950094" w:rsidRPr="00CD5B61">
        <w:rPr>
          <w:rFonts w:ascii="Arial" w:hAnsi="Arial" w:cs="Arial"/>
          <w:b/>
          <w:bCs/>
          <w:sz w:val="22"/>
          <w:szCs w:val="22"/>
        </w:rPr>
        <w:t>6</w:t>
      </w:r>
      <w:r w:rsidRPr="00CD5B61">
        <w:rPr>
          <w:rFonts w:ascii="Arial" w:hAnsi="Arial" w:cs="Arial"/>
          <w:b/>
          <w:bCs/>
          <w:sz w:val="22"/>
          <w:szCs w:val="22"/>
        </w:rPr>
        <w:t xml:space="preserve"> </w:t>
      </w:r>
      <w:r w:rsidR="00347224" w:rsidRPr="00CD5B61">
        <w:rPr>
          <w:rFonts w:ascii="Arial" w:hAnsi="Arial" w:cs="Arial"/>
          <w:b/>
          <w:bCs/>
          <w:sz w:val="22"/>
          <w:szCs w:val="22"/>
        </w:rPr>
        <w:t>–</w:t>
      </w:r>
      <w:r w:rsidRPr="00CD5B61">
        <w:rPr>
          <w:rFonts w:ascii="Arial" w:hAnsi="Arial" w:cs="Arial"/>
          <w:b/>
          <w:bCs/>
          <w:sz w:val="22"/>
          <w:szCs w:val="22"/>
        </w:rPr>
        <w:t xml:space="preserve"> DESCRIÇÃO</w:t>
      </w:r>
      <w:r w:rsidR="00347224" w:rsidRPr="00CD5B61">
        <w:rPr>
          <w:rFonts w:ascii="Arial" w:hAnsi="Arial" w:cs="Arial"/>
          <w:b/>
          <w:bCs/>
          <w:sz w:val="22"/>
          <w:szCs w:val="22"/>
        </w:rPr>
        <w:t xml:space="preserve"> </w:t>
      </w:r>
      <w:r w:rsidRPr="00CD5B61">
        <w:rPr>
          <w:rFonts w:ascii="Arial" w:hAnsi="Arial" w:cs="Arial"/>
          <w:b/>
          <w:bCs/>
          <w:sz w:val="22"/>
          <w:szCs w:val="22"/>
        </w:rPr>
        <w:t>DA SOLUÇÃO COMO UM TODO</w:t>
      </w:r>
    </w:p>
    <w:p w14:paraId="5FA0F238"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A solução proposta para atendimento da necessidade da Administração Municipal consiste na futura aquisição de materiais e equipamentos destinados à segurança e prevenção contra incêndio, visando atender às necessidades dos prédios públicos do Município de Vera Cruz do Oeste – PR.</w:t>
      </w:r>
    </w:p>
    <w:p w14:paraId="3C7932AC"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 xml:space="preserve">A solução contempla o fornecimento parcelado, conforme demanda da Administração, de itens destinados à sinalização de emergência, orientação de rotas de fuga, identificação de equipamentos de combate a incêndio, iluminação de emergência, extintores de incêndio, mangueiras de hidrante e demais materiais correlatos necessários para adequação e manutenção das condições mínimas de segurança das edificações públicas municipais. </w:t>
      </w:r>
    </w:p>
    <w:p w14:paraId="1099D2A5"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Considerando a natureza variável da demanda, a diversidade dos itens envolvidos e a impossibilidade de definição exata dos quantitativos efetivamente necessários durante a vigência contratual, verificou-se que a solução mais adequada para a Administração consiste na realização de processo licitatório na modalidade Pregão Eletrônico, utilizando o Sistema de Registro de Preços – SRP, possibilitando aquisições futuras e parceladas conforme necessidade da Administração Municipal.</w:t>
      </w:r>
    </w:p>
    <w:p w14:paraId="7832B577"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A adoção do Sistema de Registro de Preços apresenta-se tecnicamente e economicamente vantajosa em razão:</w:t>
      </w:r>
    </w:p>
    <w:p w14:paraId="4C6898E8"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possibilidade de aquisição conforme demanda efetiva da Administração; </w:t>
      </w:r>
    </w:p>
    <w:p w14:paraId="63BECDBA"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redução de riscos de aquisição excessiva ou desnecessária de materiais; </w:t>
      </w:r>
    </w:p>
    <w:p w14:paraId="29E7436B"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proofErr w:type="spellStart"/>
      <w:r w:rsidRPr="009833E8">
        <w:rPr>
          <w:rFonts w:ascii="Arial" w:hAnsi="Arial" w:cs="Arial"/>
          <w:sz w:val="22"/>
          <w:szCs w:val="22"/>
        </w:rPr>
        <w:t>da</w:t>
      </w:r>
      <w:proofErr w:type="spellEnd"/>
      <w:r w:rsidRPr="009833E8">
        <w:rPr>
          <w:rFonts w:ascii="Arial" w:hAnsi="Arial" w:cs="Arial"/>
          <w:sz w:val="22"/>
          <w:szCs w:val="22"/>
        </w:rPr>
        <w:t xml:space="preserve"> melhor gestão dos quantitativos e estoques; </w:t>
      </w:r>
    </w:p>
    <w:p w14:paraId="28123A76"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possibilidade de atendimento das diversas Secretarias Municipais; </w:t>
      </w:r>
    </w:p>
    <w:p w14:paraId="5E598B7F"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proofErr w:type="spellStart"/>
      <w:r w:rsidRPr="009833E8">
        <w:rPr>
          <w:rFonts w:ascii="Arial" w:hAnsi="Arial" w:cs="Arial"/>
          <w:sz w:val="22"/>
          <w:szCs w:val="22"/>
        </w:rPr>
        <w:lastRenderedPageBreak/>
        <w:t>da</w:t>
      </w:r>
      <w:proofErr w:type="spellEnd"/>
      <w:r w:rsidRPr="009833E8">
        <w:rPr>
          <w:rFonts w:ascii="Arial" w:hAnsi="Arial" w:cs="Arial"/>
          <w:sz w:val="22"/>
          <w:szCs w:val="22"/>
        </w:rPr>
        <w:t xml:space="preserve"> economicidade decorrente da realização de único procedimento licitatório; </w:t>
      </w:r>
    </w:p>
    <w:p w14:paraId="2C495DAE"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da padronização dos materiais e equipamentos; </w:t>
      </w:r>
    </w:p>
    <w:p w14:paraId="159BAE2F" w14:textId="77777777" w:rsidR="009833E8" w:rsidRPr="009833E8" w:rsidRDefault="009833E8" w:rsidP="00097888">
      <w:pPr>
        <w:numPr>
          <w:ilvl w:val="0"/>
          <w:numId w:val="28"/>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e da maior eficiência administrativa no gerenciamento das futuras aquisições. </w:t>
      </w:r>
    </w:p>
    <w:p w14:paraId="10760FFA"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Quanto ao modo de disputa, verifica-se como mais vantajosa para a Administração a adoção do modo de disputa aberto e fechado, nos termos da Lei nº 14.133/2021 e do Decreto Municipal nº 6.602/2023, considerando que tal modelo possibilita maior competitividade durante a fase aberta de lances, aliada à oportunidade de apresentação de proposta final mais vantajosa pelos licitantes melhor classificados na etapa fechada.</w:t>
      </w:r>
    </w:p>
    <w:p w14:paraId="1C4FA790"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A utilização do modo de disputa aberto e fechado permite à Administração obter melhores condições de preço e maior economicidade, preservando a competitividade do certame e incentivando os licitantes a apresentarem propostas mais vantajosas ao final da disputa, especialmente considerando a natureza comum dos itens e a ampla participação de fornecedores do ramo.</w:t>
      </w:r>
    </w:p>
    <w:p w14:paraId="36DC0C91"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A solução contempla ainda a aquisição de materiais e equipamentos em conformidade com as normas técnicas aplicáveis, especialmente as Normas de Procedimentos Técnicos – NPT do Corpo de Bombeiros Militar do Paraná, normas da ABNT, INMETRO e demais regulamentações pertinentes à prevenção e combate a incêndio.</w:t>
      </w:r>
    </w:p>
    <w:p w14:paraId="32DAD491"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Os itens deverão possuir padrão mínimo de qualidade, segurança, durabilidade e desempenho compatíveis com as necessidades da Administração Municipal, observando as especificações técnicas que serão definidas no Termo de Referência.</w:t>
      </w:r>
    </w:p>
    <w:p w14:paraId="101999DE"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A solução adotada busca garantir:</w:t>
      </w:r>
    </w:p>
    <w:p w14:paraId="41308F4C" w14:textId="77777777" w:rsidR="009833E8" w:rsidRPr="009833E8" w:rsidRDefault="009833E8" w:rsidP="00097888">
      <w:pPr>
        <w:numPr>
          <w:ilvl w:val="0"/>
          <w:numId w:val="29"/>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melhores condições de segurança nos prédios públicos municipais; </w:t>
      </w:r>
    </w:p>
    <w:p w14:paraId="7EF6328B" w14:textId="77777777" w:rsidR="009833E8" w:rsidRPr="009833E8" w:rsidRDefault="009833E8" w:rsidP="00097888">
      <w:pPr>
        <w:numPr>
          <w:ilvl w:val="0"/>
          <w:numId w:val="29"/>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adequação das edificações às normas de prevenção contra incêndio; </w:t>
      </w:r>
    </w:p>
    <w:p w14:paraId="45FDF9D4" w14:textId="77777777" w:rsidR="009833E8" w:rsidRPr="009833E8" w:rsidRDefault="009833E8" w:rsidP="00097888">
      <w:pPr>
        <w:numPr>
          <w:ilvl w:val="0"/>
          <w:numId w:val="29"/>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proteção da integridade física de servidores, colaboradores e munícipes; </w:t>
      </w:r>
    </w:p>
    <w:p w14:paraId="3B661341" w14:textId="77777777" w:rsidR="009833E8" w:rsidRPr="009833E8" w:rsidRDefault="009833E8" w:rsidP="00097888">
      <w:pPr>
        <w:numPr>
          <w:ilvl w:val="0"/>
          <w:numId w:val="29"/>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preservação do patrimônio público; </w:t>
      </w:r>
    </w:p>
    <w:p w14:paraId="55FD8B44" w14:textId="77777777" w:rsidR="009833E8" w:rsidRPr="009833E8" w:rsidRDefault="009833E8" w:rsidP="00097888">
      <w:pPr>
        <w:numPr>
          <w:ilvl w:val="0"/>
          <w:numId w:val="29"/>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redução de riscos em situações emergenciais; </w:t>
      </w:r>
    </w:p>
    <w:p w14:paraId="7AD483B2" w14:textId="77777777" w:rsidR="009833E8" w:rsidRPr="009833E8" w:rsidRDefault="009833E8" w:rsidP="00097888">
      <w:pPr>
        <w:numPr>
          <w:ilvl w:val="0"/>
          <w:numId w:val="29"/>
        </w:numPr>
        <w:tabs>
          <w:tab w:val="clear" w:pos="720"/>
          <w:tab w:val="num" w:pos="-993"/>
        </w:tabs>
        <w:spacing w:line="276" w:lineRule="auto"/>
        <w:ind w:left="-1134" w:right="283" w:hanging="11"/>
        <w:jc w:val="both"/>
        <w:rPr>
          <w:rFonts w:ascii="Arial" w:hAnsi="Arial" w:cs="Arial"/>
          <w:sz w:val="22"/>
          <w:szCs w:val="22"/>
        </w:rPr>
      </w:pPr>
      <w:r w:rsidRPr="009833E8">
        <w:rPr>
          <w:rFonts w:ascii="Arial" w:hAnsi="Arial" w:cs="Arial"/>
          <w:sz w:val="22"/>
          <w:szCs w:val="22"/>
        </w:rPr>
        <w:t xml:space="preserve">e continuidade adequada das atividades desenvolvidas pela Administração Municipal. </w:t>
      </w:r>
    </w:p>
    <w:p w14:paraId="45CD3541" w14:textId="77777777" w:rsidR="009833E8" w:rsidRPr="009833E8" w:rsidRDefault="009833E8" w:rsidP="00097888">
      <w:pPr>
        <w:spacing w:line="276" w:lineRule="auto"/>
        <w:ind w:left="-1134" w:right="283"/>
        <w:jc w:val="both"/>
        <w:rPr>
          <w:rFonts w:ascii="Arial" w:hAnsi="Arial" w:cs="Arial"/>
          <w:sz w:val="22"/>
          <w:szCs w:val="22"/>
        </w:rPr>
      </w:pPr>
      <w:r w:rsidRPr="009833E8">
        <w:rPr>
          <w:rFonts w:ascii="Arial" w:hAnsi="Arial" w:cs="Arial"/>
          <w:sz w:val="22"/>
          <w:szCs w:val="22"/>
        </w:rPr>
        <w:t>A contratação será destinada ao atendimento das necessidades das diversas Secretarias e departamentos municipais, podendo os materiais e equipamentos serem adquiridos de forma parcelada durante a vigência da ata de registro de preços, conforme demanda identificada pela Administração.</w:t>
      </w:r>
    </w:p>
    <w:p w14:paraId="0135DA1E" w14:textId="77777777" w:rsidR="009833E8" w:rsidRPr="00CD5B61" w:rsidRDefault="009833E8" w:rsidP="00097888">
      <w:pPr>
        <w:spacing w:line="276" w:lineRule="auto"/>
        <w:ind w:left="-1134" w:right="283"/>
        <w:jc w:val="both"/>
        <w:rPr>
          <w:rFonts w:ascii="Arial" w:hAnsi="Arial" w:cs="Arial"/>
          <w:sz w:val="22"/>
          <w:szCs w:val="22"/>
        </w:rPr>
      </w:pPr>
    </w:p>
    <w:p w14:paraId="2DBF8000" w14:textId="77777777" w:rsidR="008E612F" w:rsidRPr="00CD5B61" w:rsidRDefault="008E612F" w:rsidP="00097888">
      <w:pPr>
        <w:spacing w:line="276" w:lineRule="auto"/>
        <w:ind w:left="-1134" w:right="283"/>
        <w:jc w:val="both"/>
        <w:rPr>
          <w:rFonts w:ascii="Arial" w:hAnsi="Arial" w:cs="Arial"/>
          <w:b/>
          <w:bCs/>
          <w:sz w:val="22"/>
          <w:szCs w:val="22"/>
        </w:rPr>
      </w:pPr>
    </w:p>
    <w:p w14:paraId="3E6949D8" w14:textId="0D634425" w:rsidR="00396B78" w:rsidRPr="00CD5B61" w:rsidRDefault="00950094"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7</w:t>
      </w:r>
      <w:r w:rsidR="00566E48" w:rsidRPr="00CD5B61">
        <w:rPr>
          <w:rFonts w:ascii="Arial" w:hAnsi="Arial" w:cs="Arial"/>
          <w:b/>
          <w:bCs/>
          <w:sz w:val="22"/>
          <w:szCs w:val="22"/>
        </w:rPr>
        <w:t xml:space="preserve"> – ESTIMATIVA DAS QUANTIDADES</w:t>
      </w:r>
    </w:p>
    <w:p w14:paraId="0F47F1A7" w14:textId="77777777" w:rsidR="004951F3" w:rsidRPr="00CD5B61" w:rsidRDefault="004951F3" w:rsidP="00097888">
      <w:pPr>
        <w:spacing w:line="276" w:lineRule="auto"/>
        <w:ind w:left="-1134" w:right="283"/>
        <w:jc w:val="both"/>
        <w:rPr>
          <w:rFonts w:ascii="Arial" w:hAnsi="Arial" w:cs="Arial"/>
          <w:sz w:val="22"/>
          <w:szCs w:val="22"/>
        </w:rPr>
      </w:pPr>
      <w:r w:rsidRPr="00CD5B61">
        <w:rPr>
          <w:rFonts w:ascii="Arial" w:hAnsi="Arial" w:cs="Arial"/>
          <w:sz w:val="22"/>
          <w:szCs w:val="22"/>
        </w:rPr>
        <w:t>As quantidades a serem adquiridas serão utilizados por todas as secretarias pertencentes à Administração municipal durante o período de 12 (doze) meses, podendo ser prorrogado.</w:t>
      </w:r>
    </w:p>
    <w:p w14:paraId="560E5F0B" w14:textId="2BE4C628" w:rsidR="004951F3" w:rsidRPr="00CD5B61" w:rsidRDefault="004951F3" w:rsidP="00097888">
      <w:pPr>
        <w:spacing w:line="276" w:lineRule="auto"/>
        <w:ind w:left="-1134"/>
        <w:jc w:val="both"/>
        <w:rPr>
          <w:rFonts w:ascii="Arial" w:hAnsi="Arial" w:cs="Arial"/>
          <w:color w:val="000000"/>
          <w:sz w:val="22"/>
          <w:szCs w:val="22"/>
        </w:rPr>
      </w:pPr>
      <w:r w:rsidRPr="00CD5B61">
        <w:rPr>
          <w:rFonts w:ascii="Arial" w:hAnsi="Arial" w:cs="Arial"/>
          <w:color w:val="000000"/>
          <w:sz w:val="22"/>
          <w:szCs w:val="22"/>
        </w:rPr>
        <w:t>Com o intuito de suprir as necessidades das secretarias municipais, a administração municipal fará licitação das seguintes quantidades:</w:t>
      </w:r>
    </w:p>
    <w:tbl>
      <w:tblPr>
        <w:tblW w:w="9923" w:type="dxa"/>
        <w:tblInd w:w="-1418" w:type="dxa"/>
        <w:tblCellMar>
          <w:left w:w="70" w:type="dxa"/>
          <w:right w:w="70" w:type="dxa"/>
        </w:tblCellMar>
        <w:tblLook w:val="04A0" w:firstRow="1" w:lastRow="0" w:firstColumn="1" w:lastColumn="0" w:noHBand="0" w:noVBand="1"/>
      </w:tblPr>
      <w:tblGrid>
        <w:gridCol w:w="546"/>
        <w:gridCol w:w="4703"/>
        <w:gridCol w:w="1131"/>
        <w:gridCol w:w="850"/>
        <w:gridCol w:w="1559"/>
        <w:gridCol w:w="1134"/>
      </w:tblGrid>
      <w:tr w:rsidR="004951F3" w:rsidRPr="00CD5B61" w14:paraId="09598D5B" w14:textId="77777777" w:rsidTr="001D295D">
        <w:trPr>
          <w:trHeight w:val="1093"/>
        </w:trPr>
        <w:tc>
          <w:tcPr>
            <w:tcW w:w="546" w:type="dxa"/>
            <w:tcBorders>
              <w:top w:val="single" w:sz="4" w:space="0" w:color="auto"/>
              <w:left w:val="nil"/>
              <w:bottom w:val="single" w:sz="4" w:space="0" w:color="auto"/>
              <w:right w:val="single" w:sz="4" w:space="0" w:color="auto"/>
            </w:tcBorders>
            <w:textDirection w:val="btLr"/>
            <w:vAlign w:val="center"/>
            <w:hideMark/>
          </w:tcPr>
          <w:p w14:paraId="749EA5AF"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ITEM</w:t>
            </w:r>
          </w:p>
        </w:tc>
        <w:tc>
          <w:tcPr>
            <w:tcW w:w="4983" w:type="dxa"/>
            <w:tcBorders>
              <w:top w:val="single" w:sz="4" w:space="0" w:color="auto"/>
              <w:left w:val="nil"/>
              <w:bottom w:val="single" w:sz="4" w:space="0" w:color="auto"/>
              <w:right w:val="single" w:sz="4" w:space="0" w:color="auto"/>
            </w:tcBorders>
            <w:vAlign w:val="center"/>
            <w:hideMark/>
          </w:tcPr>
          <w:p w14:paraId="05472BAE"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PRODUTO / SERVIÇO</w:t>
            </w:r>
          </w:p>
        </w:tc>
        <w:tc>
          <w:tcPr>
            <w:tcW w:w="851" w:type="dxa"/>
            <w:tcBorders>
              <w:top w:val="single" w:sz="4" w:space="0" w:color="auto"/>
              <w:left w:val="nil"/>
              <w:bottom w:val="single" w:sz="4" w:space="0" w:color="auto"/>
              <w:right w:val="single" w:sz="4" w:space="0" w:color="auto"/>
            </w:tcBorders>
            <w:vAlign w:val="center"/>
            <w:hideMark/>
          </w:tcPr>
          <w:p w14:paraId="1663647E"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single" w:sz="4" w:space="0" w:color="auto"/>
              <w:left w:val="nil"/>
              <w:bottom w:val="single" w:sz="4" w:space="0" w:color="auto"/>
              <w:right w:val="single" w:sz="4" w:space="0" w:color="auto"/>
            </w:tcBorders>
            <w:vAlign w:val="center"/>
            <w:hideMark/>
          </w:tcPr>
          <w:p w14:paraId="7E12E4AD"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QTDE.</w:t>
            </w:r>
          </w:p>
        </w:tc>
        <w:tc>
          <w:tcPr>
            <w:tcW w:w="1559" w:type="dxa"/>
            <w:tcBorders>
              <w:top w:val="single" w:sz="4" w:space="0" w:color="auto"/>
              <w:left w:val="nil"/>
              <w:bottom w:val="single" w:sz="4" w:space="0" w:color="auto"/>
              <w:right w:val="single" w:sz="4" w:space="0" w:color="auto"/>
            </w:tcBorders>
            <w:vAlign w:val="center"/>
            <w:hideMark/>
          </w:tcPr>
          <w:p w14:paraId="35DBB5D0"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MÉDIA ARITMÉTICA</w:t>
            </w:r>
          </w:p>
        </w:tc>
        <w:tc>
          <w:tcPr>
            <w:tcW w:w="1134" w:type="dxa"/>
            <w:tcBorders>
              <w:top w:val="single" w:sz="4" w:space="0" w:color="auto"/>
              <w:left w:val="nil"/>
              <w:bottom w:val="single" w:sz="4" w:space="0" w:color="auto"/>
              <w:right w:val="single" w:sz="4" w:space="0" w:color="auto"/>
            </w:tcBorders>
            <w:vAlign w:val="center"/>
            <w:hideMark/>
          </w:tcPr>
          <w:p w14:paraId="48DAB4DE"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TOTAL</w:t>
            </w:r>
          </w:p>
        </w:tc>
      </w:tr>
      <w:tr w:rsidR="004951F3" w:rsidRPr="00CD5B61" w14:paraId="01EDF485" w14:textId="77777777" w:rsidTr="001D295D">
        <w:trPr>
          <w:trHeight w:val="703"/>
        </w:trPr>
        <w:tc>
          <w:tcPr>
            <w:tcW w:w="546" w:type="dxa"/>
            <w:tcBorders>
              <w:top w:val="nil"/>
              <w:left w:val="nil"/>
              <w:bottom w:val="single" w:sz="4" w:space="0" w:color="auto"/>
              <w:right w:val="single" w:sz="4" w:space="0" w:color="auto"/>
            </w:tcBorders>
            <w:vAlign w:val="center"/>
            <w:hideMark/>
          </w:tcPr>
          <w:p w14:paraId="3A1EDD72"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w:t>
            </w:r>
          </w:p>
        </w:tc>
        <w:tc>
          <w:tcPr>
            <w:tcW w:w="4983" w:type="dxa"/>
            <w:tcBorders>
              <w:top w:val="nil"/>
              <w:left w:val="nil"/>
              <w:bottom w:val="single" w:sz="4" w:space="0" w:color="auto"/>
              <w:right w:val="single" w:sz="4" w:space="0" w:color="auto"/>
            </w:tcBorders>
            <w:vAlign w:val="center"/>
            <w:hideMark/>
          </w:tcPr>
          <w:p w14:paraId="4D221E41"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S1, Placa com indicação do sentido de saída de emergência para direita, placa retangular com fundo verde e pictograma </w:t>
            </w:r>
            <w:r w:rsidRPr="004951F3">
              <w:rPr>
                <w:rFonts w:ascii="Arial" w:hAnsi="Arial" w:cs="Arial"/>
                <w:sz w:val="22"/>
                <w:szCs w:val="22"/>
              </w:rPr>
              <w:lastRenderedPageBreak/>
              <w:t>branco fotoluminescente com dimensão mínima de 316 mm de largura x 158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30EF742A"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lastRenderedPageBreak/>
              <w:t>Unidade</w:t>
            </w:r>
          </w:p>
        </w:tc>
        <w:tc>
          <w:tcPr>
            <w:tcW w:w="850" w:type="dxa"/>
            <w:tcBorders>
              <w:top w:val="nil"/>
              <w:left w:val="nil"/>
              <w:bottom w:val="single" w:sz="4" w:space="0" w:color="auto"/>
              <w:right w:val="single" w:sz="4" w:space="0" w:color="auto"/>
            </w:tcBorders>
            <w:vAlign w:val="center"/>
            <w:hideMark/>
          </w:tcPr>
          <w:p w14:paraId="6D482CD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04ED6683"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11,25</w:t>
            </w:r>
          </w:p>
        </w:tc>
        <w:tc>
          <w:tcPr>
            <w:tcW w:w="1134" w:type="dxa"/>
            <w:tcBorders>
              <w:top w:val="nil"/>
              <w:left w:val="nil"/>
              <w:bottom w:val="single" w:sz="4" w:space="0" w:color="auto"/>
              <w:right w:val="single" w:sz="4" w:space="0" w:color="auto"/>
            </w:tcBorders>
            <w:vAlign w:val="center"/>
            <w:hideMark/>
          </w:tcPr>
          <w:p w14:paraId="228275CD"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2.025,00</w:t>
            </w:r>
          </w:p>
        </w:tc>
      </w:tr>
      <w:tr w:rsidR="004951F3" w:rsidRPr="00CD5B61" w14:paraId="182854EF" w14:textId="77777777" w:rsidTr="001D295D">
        <w:trPr>
          <w:trHeight w:val="703"/>
        </w:trPr>
        <w:tc>
          <w:tcPr>
            <w:tcW w:w="546" w:type="dxa"/>
            <w:tcBorders>
              <w:top w:val="nil"/>
              <w:left w:val="nil"/>
              <w:bottom w:val="single" w:sz="4" w:space="0" w:color="auto"/>
              <w:right w:val="single" w:sz="4" w:space="0" w:color="auto"/>
            </w:tcBorders>
            <w:vAlign w:val="center"/>
            <w:hideMark/>
          </w:tcPr>
          <w:p w14:paraId="3E556FD4"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w:t>
            </w:r>
          </w:p>
        </w:tc>
        <w:tc>
          <w:tcPr>
            <w:tcW w:w="4983" w:type="dxa"/>
            <w:tcBorders>
              <w:top w:val="nil"/>
              <w:left w:val="nil"/>
              <w:bottom w:val="single" w:sz="4" w:space="0" w:color="auto"/>
              <w:right w:val="single" w:sz="4" w:space="0" w:color="auto"/>
            </w:tcBorders>
            <w:vAlign w:val="center"/>
            <w:hideMark/>
          </w:tcPr>
          <w:p w14:paraId="6EAFF6A6"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S3 Placa com indicação do sentido de saída de emergência para cima, para ser fixado acima da porta de acesso, placa retangular com fundo verde e pictograma branco fotoluminescente com dimensão mínima de 316 mm de largura x 158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6F9627F3"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6E8799F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632AD9AB"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11,00</w:t>
            </w:r>
          </w:p>
        </w:tc>
        <w:tc>
          <w:tcPr>
            <w:tcW w:w="1134" w:type="dxa"/>
            <w:tcBorders>
              <w:top w:val="nil"/>
              <w:left w:val="nil"/>
              <w:bottom w:val="single" w:sz="4" w:space="0" w:color="auto"/>
              <w:right w:val="single" w:sz="4" w:space="0" w:color="auto"/>
            </w:tcBorders>
            <w:vAlign w:val="center"/>
            <w:hideMark/>
          </w:tcPr>
          <w:p w14:paraId="7DED6AD4"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1.980,00</w:t>
            </w:r>
          </w:p>
        </w:tc>
      </w:tr>
      <w:tr w:rsidR="004951F3" w:rsidRPr="00CD5B61" w14:paraId="28563190" w14:textId="77777777" w:rsidTr="001D295D">
        <w:trPr>
          <w:trHeight w:val="703"/>
        </w:trPr>
        <w:tc>
          <w:tcPr>
            <w:tcW w:w="546" w:type="dxa"/>
            <w:tcBorders>
              <w:top w:val="nil"/>
              <w:left w:val="nil"/>
              <w:bottom w:val="single" w:sz="4" w:space="0" w:color="auto"/>
              <w:right w:val="single" w:sz="4" w:space="0" w:color="auto"/>
            </w:tcBorders>
            <w:vAlign w:val="center"/>
            <w:hideMark/>
          </w:tcPr>
          <w:p w14:paraId="51DC8895"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3</w:t>
            </w:r>
          </w:p>
        </w:tc>
        <w:tc>
          <w:tcPr>
            <w:tcW w:w="4983" w:type="dxa"/>
            <w:tcBorders>
              <w:top w:val="nil"/>
              <w:left w:val="nil"/>
              <w:bottom w:val="single" w:sz="4" w:space="0" w:color="auto"/>
              <w:right w:val="single" w:sz="4" w:space="0" w:color="auto"/>
            </w:tcBorders>
            <w:vAlign w:val="center"/>
            <w:hideMark/>
          </w:tcPr>
          <w:p w14:paraId="1470905A"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S6, Placa com indicação do sentido de saída de emergência em rampa descendo a direita, placa retangular com fundo verde e pictograma branco fotoluminescente com dimensão mínima de 316 mm de largura x 158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3D5E867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6E595EC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75966A3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7,79</w:t>
            </w:r>
          </w:p>
        </w:tc>
        <w:tc>
          <w:tcPr>
            <w:tcW w:w="1134" w:type="dxa"/>
            <w:tcBorders>
              <w:top w:val="nil"/>
              <w:left w:val="nil"/>
              <w:bottom w:val="single" w:sz="4" w:space="0" w:color="auto"/>
              <w:right w:val="single" w:sz="4" w:space="0" w:color="auto"/>
            </w:tcBorders>
            <w:vAlign w:val="center"/>
            <w:hideMark/>
          </w:tcPr>
          <w:p w14:paraId="26766D92"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1.402,20</w:t>
            </w:r>
          </w:p>
        </w:tc>
      </w:tr>
      <w:tr w:rsidR="004951F3" w:rsidRPr="00CD5B61" w14:paraId="2EA73606" w14:textId="77777777" w:rsidTr="001D295D">
        <w:trPr>
          <w:trHeight w:val="703"/>
        </w:trPr>
        <w:tc>
          <w:tcPr>
            <w:tcW w:w="546" w:type="dxa"/>
            <w:tcBorders>
              <w:top w:val="nil"/>
              <w:left w:val="nil"/>
              <w:bottom w:val="single" w:sz="4" w:space="0" w:color="auto"/>
              <w:right w:val="single" w:sz="4" w:space="0" w:color="auto"/>
            </w:tcBorders>
            <w:vAlign w:val="center"/>
            <w:hideMark/>
          </w:tcPr>
          <w:p w14:paraId="59502A20"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4</w:t>
            </w:r>
          </w:p>
        </w:tc>
        <w:tc>
          <w:tcPr>
            <w:tcW w:w="4983" w:type="dxa"/>
            <w:tcBorders>
              <w:top w:val="nil"/>
              <w:left w:val="nil"/>
              <w:bottom w:val="single" w:sz="4" w:space="0" w:color="auto"/>
              <w:right w:val="single" w:sz="4" w:space="0" w:color="auto"/>
            </w:tcBorders>
            <w:vAlign w:val="center"/>
            <w:hideMark/>
          </w:tcPr>
          <w:p w14:paraId="736D0189"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S7, Placa com indicação do sentido de saída de emergência em rampa descendo a esquerda, placa retangular com fundo verde e pictograma branco fotoluminescente com dimensão mínima de 316 mm de largura x 158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37E0E4E6"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49BA1668"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02FA7F3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8,80</w:t>
            </w:r>
          </w:p>
        </w:tc>
        <w:tc>
          <w:tcPr>
            <w:tcW w:w="1134" w:type="dxa"/>
            <w:tcBorders>
              <w:top w:val="nil"/>
              <w:left w:val="nil"/>
              <w:bottom w:val="single" w:sz="4" w:space="0" w:color="auto"/>
              <w:right w:val="single" w:sz="4" w:space="0" w:color="auto"/>
            </w:tcBorders>
            <w:vAlign w:val="center"/>
            <w:hideMark/>
          </w:tcPr>
          <w:p w14:paraId="5EEFC00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1.584,00</w:t>
            </w:r>
          </w:p>
        </w:tc>
      </w:tr>
      <w:tr w:rsidR="004951F3" w:rsidRPr="00CD5B61" w14:paraId="6808BDF8" w14:textId="77777777" w:rsidTr="001D295D">
        <w:trPr>
          <w:trHeight w:val="703"/>
        </w:trPr>
        <w:tc>
          <w:tcPr>
            <w:tcW w:w="546" w:type="dxa"/>
            <w:tcBorders>
              <w:top w:val="nil"/>
              <w:left w:val="nil"/>
              <w:bottom w:val="single" w:sz="4" w:space="0" w:color="auto"/>
              <w:right w:val="single" w:sz="4" w:space="0" w:color="auto"/>
            </w:tcBorders>
            <w:vAlign w:val="center"/>
            <w:hideMark/>
          </w:tcPr>
          <w:p w14:paraId="1D169CA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5</w:t>
            </w:r>
          </w:p>
        </w:tc>
        <w:tc>
          <w:tcPr>
            <w:tcW w:w="4983" w:type="dxa"/>
            <w:tcBorders>
              <w:top w:val="nil"/>
              <w:left w:val="nil"/>
              <w:bottom w:val="single" w:sz="4" w:space="0" w:color="auto"/>
              <w:right w:val="single" w:sz="4" w:space="0" w:color="auto"/>
            </w:tcBorders>
            <w:vAlign w:val="center"/>
            <w:hideMark/>
          </w:tcPr>
          <w:p w14:paraId="07847F53"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S8, Placa com indicação do sentido de saída de emergência em escada descendo a direita, placa retangular com fundo verde e pictograma branco fotoluminescente com dimensão mínima de 316 mm de largura x 158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01153FAA"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27380C30"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2C386674"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7,17</w:t>
            </w:r>
          </w:p>
        </w:tc>
        <w:tc>
          <w:tcPr>
            <w:tcW w:w="1134" w:type="dxa"/>
            <w:tcBorders>
              <w:top w:val="nil"/>
              <w:left w:val="nil"/>
              <w:bottom w:val="single" w:sz="4" w:space="0" w:color="auto"/>
              <w:right w:val="single" w:sz="4" w:space="0" w:color="auto"/>
            </w:tcBorders>
            <w:vAlign w:val="center"/>
            <w:hideMark/>
          </w:tcPr>
          <w:p w14:paraId="0ABF4D64"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1.290,60</w:t>
            </w:r>
          </w:p>
        </w:tc>
      </w:tr>
      <w:tr w:rsidR="004951F3" w:rsidRPr="00CD5B61" w14:paraId="0F820C08" w14:textId="77777777" w:rsidTr="001D295D">
        <w:trPr>
          <w:trHeight w:val="703"/>
        </w:trPr>
        <w:tc>
          <w:tcPr>
            <w:tcW w:w="546" w:type="dxa"/>
            <w:tcBorders>
              <w:top w:val="nil"/>
              <w:left w:val="nil"/>
              <w:bottom w:val="single" w:sz="4" w:space="0" w:color="auto"/>
              <w:right w:val="single" w:sz="4" w:space="0" w:color="auto"/>
            </w:tcBorders>
            <w:vAlign w:val="center"/>
            <w:hideMark/>
          </w:tcPr>
          <w:p w14:paraId="4FBB68D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6</w:t>
            </w:r>
          </w:p>
        </w:tc>
        <w:tc>
          <w:tcPr>
            <w:tcW w:w="4983" w:type="dxa"/>
            <w:tcBorders>
              <w:top w:val="nil"/>
              <w:left w:val="nil"/>
              <w:bottom w:val="single" w:sz="4" w:space="0" w:color="auto"/>
              <w:right w:val="single" w:sz="4" w:space="0" w:color="auto"/>
            </w:tcBorders>
            <w:vAlign w:val="center"/>
            <w:hideMark/>
          </w:tcPr>
          <w:p w14:paraId="63B1DF90"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S9, Placa com indicação do sentido de saída de emergência em escada descendo a esquerda, placa retangular com fundo verde e pictograma branco fotoluminescente com dimensão mínima de 316 mm de largura x 158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39DA80E3"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0E8F5BAF"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2CBD0C8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7,00</w:t>
            </w:r>
          </w:p>
        </w:tc>
        <w:tc>
          <w:tcPr>
            <w:tcW w:w="1134" w:type="dxa"/>
            <w:tcBorders>
              <w:top w:val="nil"/>
              <w:left w:val="nil"/>
              <w:bottom w:val="single" w:sz="4" w:space="0" w:color="auto"/>
              <w:right w:val="single" w:sz="4" w:space="0" w:color="auto"/>
            </w:tcBorders>
            <w:vAlign w:val="center"/>
            <w:hideMark/>
          </w:tcPr>
          <w:p w14:paraId="6B96B3F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1.260,00</w:t>
            </w:r>
          </w:p>
        </w:tc>
      </w:tr>
      <w:tr w:rsidR="004951F3" w:rsidRPr="00CD5B61" w14:paraId="03920FB3" w14:textId="77777777" w:rsidTr="001D295D">
        <w:trPr>
          <w:trHeight w:val="703"/>
        </w:trPr>
        <w:tc>
          <w:tcPr>
            <w:tcW w:w="546" w:type="dxa"/>
            <w:tcBorders>
              <w:top w:val="nil"/>
              <w:left w:val="nil"/>
              <w:bottom w:val="single" w:sz="4" w:space="0" w:color="auto"/>
              <w:right w:val="single" w:sz="4" w:space="0" w:color="auto"/>
            </w:tcBorders>
            <w:vAlign w:val="center"/>
            <w:hideMark/>
          </w:tcPr>
          <w:p w14:paraId="5568C259"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7</w:t>
            </w:r>
          </w:p>
        </w:tc>
        <w:tc>
          <w:tcPr>
            <w:tcW w:w="4983" w:type="dxa"/>
            <w:tcBorders>
              <w:top w:val="nil"/>
              <w:left w:val="nil"/>
              <w:bottom w:val="single" w:sz="4" w:space="0" w:color="auto"/>
              <w:right w:val="single" w:sz="4" w:space="0" w:color="auto"/>
            </w:tcBorders>
            <w:vAlign w:val="center"/>
            <w:hideMark/>
          </w:tcPr>
          <w:p w14:paraId="2EF4A7B3"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S12, Placa com indicação da saída de emergência, placa retangular com fundo verde e pictograma branco fotoluminescente, </w:t>
            </w:r>
            <w:r w:rsidRPr="004951F3">
              <w:rPr>
                <w:rFonts w:ascii="Arial" w:hAnsi="Arial" w:cs="Arial"/>
                <w:sz w:val="22"/>
                <w:szCs w:val="22"/>
              </w:rPr>
              <w:lastRenderedPageBreak/>
              <w:t>mensagem "SAÍDA" com dimensão mínima de 316 mm de largura x 158 mm de altura, fonte da escrita com altura de 85 mm. Cores e fontes de escrita conforme NPT 020.</w:t>
            </w:r>
          </w:p>
        </w:tc>
        <w:tc>
          <w:tcPr>
            <w:tcW w:w="851" w:type="dxa"/>
            <w:tcBorders>
              <w:top w:val="nil"/>
              <w:left w:val="nil"/>
              <w:bottom w:val="single" w:sz="4" w:space="0" w:color="auto"/>
              <w:right w:val="single" w:sz="4" w:space="0" w:color="auto"/>
            </w:tcBorders>
            <w:vAlign w:val="center"/>
            <w:hideMark/>
          </w:tcPr>
          <w:p w14:paraId="7AD24FEC"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lastRenderedPageBreak/>
              <w:t>Unidade</w:t>
            </w:r>
          </w:p>
        </w:tc>
        <w:tc>
          <w:tcPr>
            <w:tcW w:w="850" w:type="dxa"/>
            <w:tcBorders>
              <w:top w:val="nil"/>
              <w:left w:val="nil"/>
              <w:bottom w:val="single" w:sz="4" w:space="0" w:color="auto"/>
              <w:right w:val="single" w:sz="4" w:space="0" w:color="auto"/>
            </w:tcBorders>
            <w:vAlign w:val="center"/>
            <w:hideMark/>
          </w:tcPr>
          <w:p w14:paraId="7150FF07"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4B5497C5"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13,33</w:t>
            </w:r>
          </w:p>
        </w:tc>
        <w:tc>
          <w:tcPr>
            <w:tcW w:w="1134" w:type="dxa"/>
            <w:tcBorders>
              <w:top w:val="nil"/>
              <w:left w:val="nil"/>
              <w:bottom w:val="single" w:sz="4" w:space="0" w:color="auto"/>
              <w:right w:val="single" w:sz="4" w:space="0" w:color="auto"/>
            </w:tcBorders>
            <w:vAlign w:val="center"/>
            <w:hideMark/>
          </w:tcPr>
          <w:p w14:paraId="074F2D8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1.999,50</w:t>
            </w:r>
          </w:p>
        </w:tc>
      </w:tr>
      <w:tr w:rsidR="004951F3" w:rsidRPr="00CD5B61" w14:paraId="3FD32A70" w14:textId="77777777" w:rsidTr="001D295D">
        <w:trPr>
          <w:trHeight w:val="527"/>
        </w:trPr>
        <w:tc>
          <w:tcPr>
            <w:tcW w:w="546" w:type="dxa"/>
            <w:tcBorders>
              <w:top w:val="nil"/>
              <w:left w:val="nil"/>
              <w:bottom w:val="single" w:sz="4" w:space="0" w:color="auto"/>
              <w:right w:val="single" w:sz="4" w:space="0" w:color="auto"/>
            </w:tcBorders>
            <w:vAlign w:val="center"/>
            <w:hideMark/>
          </w:tcPr>
          <w:p w14:paraId="45722223"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8</w:t>
            </w:r>
          </w:p>
        </w:tc>
        <w:tc>
          <w:tcPr>
            <w:tcW w:w="4983" w:type="dxa"/>
            <w:tcBorders>
              <w:top w:val="nil"/>
              <w:left w:val="nil"/>
              <w:bottom w:val="single" w:sz="4" w:space="0" w:color="auto"/>
              <w:right w:val="single" w:sz="4" w:space="0" w:color="auto"/>
            </w:tcBorders>
            <w:vAlign w:val="center"/>
            <w:hideMark/>
          </w:tcPr>
          <w:p w14:paraId="46947361"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E1, Placa com indicação de alarme sonoro, placa quadrada com fundo vermelho e pictograma branco fotoluminescente, com dimensão mínima de 224 mm de largura x 224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481B21D6"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53EDE12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67E3DA9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8,94</w:t>
            </w:r>
          </w:p>
        </w:tc>
        <w:tc>
          <w:tcPr>
            <w:tcW w:w="1134" w:type="dxa"/>
            <w:tcBorders>
              <w:top w:val="nil"/>
              <w:left w:val="nil"/>
              <w:bottom w:val="single" w:sz="4" w:space="0" w:color="auto"/>
              <w:right w:val="single" w:sz="4" w:space="0" w:color="auto"/>
            </w:tcBorders>
            <w:vAlign w:val="center"/>
            <w:hideMark/>
          </w:tcPr>
          <w:p w14:paraId="2B4637B0"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1.341,00</w:t>
            </w:r>
          </w:p>
        </w:tc>
      </w:tr>
      <w:tr w:rsidR="004951F3" w:rsidRPr="00CD5B61" w14:paraId="022C7222" w14:textId="77777777" w:rsidTr="001D295D">
        <w:trPr>
          <w:trHeight w:val="703"/>
        </w:trPr>
        <w:tc>
          <w:tcPr>
            <w:tcW w:w="546" w:type="dxa"/>
            <w:tcBorders>
              <w:top w:val="nil"/>
              <w:left w:val="nil"/>
              <w:bottom w:val="single" w:sz="4" w:space="0" w:color="auto"/>
              <w:right w:val="single" w:sz="4" w:space="0" w:color="auto"/>
            </w:tcBorders>
            <w:vAlign w:val="center"/>
            <w:hideMark/>
          </w:tcPr>
          <w:p w14:paraId="236A7F82"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9</w:t>
            </w:r>
          </w:p>
        </w:tc>
        <w:tc>
          <w:tcPr>
            <w:tcW w:w="4983" w:type="dxa"/>
            <w:tcBorders>
              <w:top w:val="nil"/>
              <w:left w:val="nil"/>
              <w:bottom w:val="single" w:sz="4" w:space="0" w:color="auto"/>
              <w:right w:val="single" w:sz="4" w:space="0" w:color="auto"/>
            </w:tcBorders>
            <w:vAlign w:val="center"/>
            <w:hideMark/>
          </w:tcPr>
          <w:p w14:paraId="47AA5D3E"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E2, Placa com indicação de comando manual de alarme, placa quadrada com fundo vermelho e pictograma branco fotoluminescente, com dimensão mínima de 224 mm de largura x 224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6DC7E425"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28884A5E"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0F99B36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9,33</w:t>
            </w:r>
          </w:p>
        </w:tc>
        <w:tc>
          <w:tcPr>
            <w:tcW w:w="1134" w:type="dxa"/>
            <w:tcBorders>
              <w:top w:val="nil"/>
              <w:left w:val="nil"/>
              <w:bottom w:val="single" w:sz="4" w:space="0" w:color="auto"/>
              <w:right w:val="single" w:sz="4" w:space="0" w:color="auto"/>
            </w:tcBorders>
            <w:vAlign w:val="center"/>
            <w:hideMark/>
          </w:tcPr>
          <w:p w14:paraId="1684DD5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1.399,50</w:t>
            </w:r>
          </w:p>
        </w:tc>
      </w:tr>
      <w:tr w:rsidR="004951F3" w:rsidRPr="00CD5B61" w14:paraId="76D8F9E3" w14:textId="77777777" w:rsidTr="001D295D">
        <w:trPr>
          <w:trHeight w:val="703"/>
        </w:trPr>
        <w:tc>
          <w:tcPr>
            <w:tcW w:w="546" w:type="dxa"/>
            <w:tcBorders>
              <w:top w:val="nil"/>
              <w:left w:val="nil"/>
              <w:bottom w:val="single" w:sz="4" w:space="0" w:color="auto"/>
              <w:right w:val="single" w:sz="4" w:space="0" w:color="auto"/>
            </w:tcBorders>
            <w:vAlign w:val="center"/>
            <w:hideMark/>
          </w:tcPr>
          <w:p w14:paraId="58F49D6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10</w:t>
            </w:r>
          </w:p>
        </w:tc>
        <w:tc>
          <w:tcPr>
            <w:tcW w:w="4983" w:type="dxa"/>
            <w:tcBorders>
              <w:top w:val="nil"/>
              <w:left w:val="nil"/>
              <w:bottom w:val="single" w:sz="4" w:space="0" w:color="auto"/>
              <w:right w:val="single" w:sz="4" w:space="0" w:color="auto"/>
            </w:tcBorders>
            <w:vAlign w:val="center"/>
            <w:hideMark/>
          </w:tcPr>
          <w:p w14:paraId="3B47533B"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E3, Placa com indicação de comando manual de bomba de incêndio, placa quadrada com fundo vermelho e pictograma branco fotoluminescente, com dimensão mínima de 224 mm de largura x 224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3A50DDF8"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4B603D4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461B798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15,43</w:t>
            </w:r>
          </w:p>
        </w:tc>
        <w:tc>
          <w:tcPr>
            <w:tcW w:w="1134" w:type="dxa"/>
            <w:tcBorders>
              <w:top w:val="nil"/>
              <w:left w:val="nil"/>
              <w:bottom w:val="single" w:sz="4" w:space="0" w:color="auto"/>
              <w:right w:val="single" w:sz="4" w:space="0" w:color="auto"/>
            </w:tcBorders>
            <w:vAlign w:val="center"/>
            <w:hideMark/>
          </w:tcPr>
          <w:p w14:paraId="2711F46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2.314,50</w:t>
            </w:r>
          </w:p>
        </w:tc>
      </w:tr>
      <w:tr w:rsidR="004951F3" w:rsidRPr="00CD5B61" w14:paraId="0D3E2FC6" w14:textId="77777777" w:rsidTr="001D295D">
        <w:trPr>
          <w:trHeight w:val="527"/>
        </w:trPr>
        <w:tc>
          <w:tcPr>
            <w:tcW w:w="546" w:type="dxa"/>
            <w:tcBorders>
              <w:top w:val="nil"/>
              <w:left w:val="nil"/>
              <w:bottom w:val="single" w:sz="4" w:space="0" w:color="auto"/>
              <w:right w:val="single" w:sz="4" w:space="0" w:color="auto"/>
            </w:tcBorders>
            <w:vAlign w:val="center"/>
            <w:hideMark/>
          </w:tcPr>
          <w:p w14:paraId="36FC9B1F"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11</w:t>
            </w:r>
          </w:p>
        </w:tc>
        <w:tc>
          <w:tcPr>
            <w:tcW w:w="4983" w:type="dxa"/>
            <w:tcBorders>
              <w:top w:val="nil"/>
              <w:left w:val="nil"/>
              <w:bottom w:val="single" w:sz="4" w:space="0" w:color="auto"/>
              <w:right w:val="single" w:sz="4" w:space="0" w:color="auto"/>
            </w:tcBorders>
            <w:vAlign w:val="center"/>
            <w:hideMark/>
          </w:tcPr>
          <w:p w14:paraId="13D7C4BD"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E5, Placa com indicação de extintor de incêndio, placa quadrada com fundo vermelho e pictograma branco fotoluminescente, com dimensão mínima de 224 mm de largura x 224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57A33D48"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2C72DCF5"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4D9368C3"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14,37</w:t>
            </w:r>
          </w:p>
        </w:tc>
        <w:tc>
          <w:tcPr>
            <w:tcW w:w="1134" w:type="dxa"/>
            <w:tcBorders>
              <w:top w:val="nil"/>
              <w:left w:val="nil"/>
              <w:bottom w:val="single" w:sz="4" w:space="0" w:color="auto"/>
              <w:right w:val="single" w:sz="4" w:space="0" w:color="auto"/>
            </w:tcBorders>
            <w:vAlign w:val="center"/>
            <w:hideMark/>
          </w:tcPr>
          <w:p w14:paraId="2B26DECD"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2.155,50</w:t>
            </w:r>
          </w:p>
        </w:tc>
      </w:tr>
      <w:tr w:rsidR="004951F3" w:rsidRPr="00CD5B61" w14:paraId="167E458B" w14:textId="77777777" w:rsidTr="001D295D">
        <w:trPr>
          <w:trHeight w:val="703"/>
        </w:trPr>
        <w:tc>
          <w:tcPr>
            <w:tcW w:w="546" w:type="dxa"/>
            <w:tcBorders>
              <w:top w:val="nil"/>
              <w:left w:val="nil"/>
              <w:bottom w:val="single" w:sz="4" w:space="0" w:color="auto"/>
              <w:right w:val="single" w:sz="4" w:space="0" w:color="auto"/>
            </w:tcBorders>
            <w:vAlign w:val="center"/>
            <w:hideMark/>
          </w:tcPr>
          <w:p w14:paraId="66571E0C"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12</w:t>
            </w:r>
          </w:p>
        </w:tc>
        <w:tc>
          <w:tcPr>
            <w:tcW w:w="4983" w:type="dxa"/>
            <w:tcBorders>
              <w:top w:val="nil"/>
              <w:left w:val="nil"/>
              <w:bottom w:val="single" w:sz="4" w:space="0" w:color="auto"/>
              <w:right w:val="single" w:sz="4" w:space="0" w:color="auto"/>
            </w:tcBorders>
            <w:vAlign w:val="center"/>
            <w:hideMark/>
          </w:tcPr>
          <w:p w14:paraId="37288FF2"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E7, Placa com indicação de abrigo de mangueira e hidrante, placa quadrada com fundo vermelho e pictograma branco fotoluminescente, com dimensão mínima de 224 mm de largura x 224 mm de altura. Cores e fontes de escrita conforme NPT 020.</w:t>
            </w:r>
          </w:p>
        </w:tc>
        <w:tc>
          <w:tcPr>
            <w:tcW w:w="851" w:type="dxa"/>
            <w:tcBorders>
              <w:top w:val="nil"/>
              <w:left w:val="nil"/>
              <w:bottom w:val="single" w:sz="4" w:space="0" w:color="auto"/>
              <w:right w:val="single" w:sz="4" w:space="0" w:color="auto"/>
            </w:tcBorders>
            <w:vAlign w:val="center"/>
            <w:hideMark/>
          </w:tcPr>
          <w:p w14:paraId="2A270BBC"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36F9F673"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2E707AB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8,82</w:t>
            </w:r>
          </w:p>
        </w:tc>
        <w:tc>
          <w:tcPr>
            <w:tcW w:w="1134" w:type="dxa"/>
            <w:tcBorders>
              <w:top w:val="nil"/>
              <w:left w:val="nil"/>
              <w:bottom w:val="single" w:sz="4" w:space="0" w:color="auto"/>
              <w:right w:val="single" w:sz="4" w:space="0" w:color="auto"/>
            </w:tcBorders>
            <w:vAlign w:val="center"/>
            <w:hideMark/>
          </w:tcPr>
          <w:p w14:paraId="2C2159C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1.323,00</w:t>
            </w:r>
          </w:p>
        </w:tc>
      </w:tr>
      <w:tr w:rsidR="004951F3" w:rsidRPr="00CD5B61" w14:paraId="49AF7E93" w14:textId="77777777" w:rsidTr="001D295D">
        <w:trPr>
          <w:trHeight w:val="527"/>
        </w:trPr>
        <w:tc>
          <w:tcPr>
            <w:tcW w:w="546" w:type="dxa"/>
            <w:tcBorders>
              <w:top w:val="nil"/>
              <w:left w:val="nil"/>
              <w:bottom w:val="single" w:sz="4" w:space="0" w:color="auto"/>
              <w:right w:val="single" w:sz="4" w:space="0" w:color="auto"/>
            </w:tcBorders>
            <w:vAlign w:val="center"/>
            <w:hideMark/>
          </w:tcPr>
          <w:p w14:paraId="01B5DA65"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13</w:t>
            </w:r>
          </w:p>
        </w:tc>
        <w:tc>
          <w:tcPr>
            <w:tcW w:w="4983" w:type="dxa"/>
            <w:tcBorders>
              <w:top w:val="nil"/>
              <w:left w:val="nil"/>
              <w:bottom w:val="single" w:sz="4" w:space="0" w:color="auto"/>
              <w:right w:val="single" w:sz="4" w:space="0" w:color="auto"/>
            </w:tcBorders>
            <w:vAlign w:val="center"/>
            <w:hideMark/>
          </w:tcPr>
          <w:p w14:paraId="38880159"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Placas tipo E17, Indicação em solo de área livre mínima livre para evitar obstruções, quadrada 1,0 x 1,0 m, com fundo vermelho 0,70 x 0,70 m e borda amarela com largura mínima de 0,15 m. Cores conforme NPT 020.</w:t>
            </w:r>
          </w:p>
        </w:tc>
        <w:tc>
          <w:tcPr>
            <w:tcW w:w="851" w:type="dxa"/>
            <w:tcBorders>
              <w:top w:val="nil"/>
              <w:left w:val="nil"/>
              <w:bottom w:val="single" w:sz="4" w:space="0" w:color="auto"/>
              <w:right w:val="single" w:sz="4" w:space="0" w:color="auto"/>
            </w:tcBorders>
            <w:vAlign w:val="center"/>
            <w:hideMark/>
          </w:tcPr>
          <w:p w14:paraId="54A89710"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62B8289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4DF9F24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41,78</w:t>
            </w:r>
          </w:p>
        </w:tc>
        <w:tc>
          <w:tcPr>
            <w:tcW w:w="1134" w:type="dxa"/>
            <w:tcBorders>
              <w:top w:val="nil"/>
              <w:left w:val="nil"/>
              <w:bottom w:val="single" w:sz="4" w:space="0" w:color="auto"/>
              <w:right w:val="single" w:sz="4" w:space="0" w:color="auto"/>
            </w:tcBorders>
            <w:vAlign w:val="center"/>
            <w:hideMark/>
          </w:tcPr>
          <w:p w14:paraId="08D0B4A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6.267,00</w:t>
            </w:r>
          </w:p>
        </w:tc>
      </w:tr>
      <w:tr w:rsidR="004951F3" w:rsidRPr="00CD5B61" w14:paraId="0CDDFC99" w14:textId="77777777" w:rsidTr="001D295D">
        <w:trPr>
          <w:trHeight w:val="527"/>
        </w:trPr>
        <w:tc>
          <w:tcPr>
            <w:tcW w:w="546" w:type="dxa"/>
            <w:tcBorders>
              <w:top w:val="nil"/>
              <w:left w:val="nil"/>
              <w:bottom w:val="single" w:sz="4" w:space="0" w:color="auto"/>
              <w:right w:val="single" w:sz="4" w:space="0" w:color="auto"/>
            </w:tcBorders>
            <w:vAlign w:val="center"/>
            <w:hideMark/>
          </w:tcPr>
          <w:p w14:paraId="3F4BEF49"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14</w:t>
            </w:r>
          </w:p>
        </w:tc>
        <w:tc>
          <w:tcPr>
            <w:tcW w:w="4983" w:type="dxa"/>
            <w:tcBorders>
              <w:top w:val="nil"/>
              <w:left w:val="nil"/>
              <w:bottom w:val="single" w:sz="4" w:space="0" w:color="auto"/>
              <w:right w:val="single" w:sz="4" w:space="0" w:color="auto"/>
            </w:tcBorders>
            <w:vAlign w:val="center"/>
            <w:hideMark/>
          </w:tcPr>
          <w:p w14:paraId="5F2789CD"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A2, Placa com indicação de Cuidado, risco de incêndio, placa triangular com fundo amarelo e pictograma preto faixa </w:t>
            </w:r>
            <w:r w:rsidRPr="004951F3">
              <w:rPr>
                <w:rFonts w:ascii="Arial" w:hAnsi="Arial" w:cs="Arial"/>
                <w:sz w:val="22"/>
                <w:szCs w:val="22"/>
              </w:rPr>
              <w:lastRenderedPageBreak/>
              <w:t xml:space="preserve">triangular preta, com dimensão mínima de 340 mm de arestas. Cores e </w:t>
            </w:r>
            <w:proofErr w:type="spellStart"/>
            <w:r w:rsidRPr="004951F3">
              <w:rPr>
                <w:rFonts w:ascii="Arial" w:hAnsi="Arial" w:cs="Arial"/>
                <w:sz w:val="22"/>
                <w:szCs w:val="22"/>
              </w:rPr>
              <w:t>simbolos</w:t>
            </w:r>
            <w:proofErr w:type="spellEnd"/>
            <w:r w:rsidRPr="004951F3">
              <w:rPr>
                <w:rFonts w:ascii="Arial" w:hAnsi="Arial" w:cs="Arial"/>
                <w:sz w:val="22"/>
                <w:szCs w:val="22"/>
              </w:rPr>
              <w:t xml:space="preserve"> conforme NPT 020.</w:t>
            </w:r>
          </w:p>
        </w:tc>
        <w:tc>
          <w:tcPr>
            <w:tcW w:w="851" w:type="dxa"/>
            <w:tcBorders>
              <w:top w:val="nil"/>
              <w:left w:val="nil"/>
              <w:bottom w:val="single" w:sz="4" w:space="0" w:color="auto"/>
              <w:right w:val="single" w:sz="4" w:space="0" w:color="auto"/>
            </w:tcBorders>
            <w:vAlign w:val="center"/>
            <w:hideMark/>
          </w:tcPr>
          <w:p w14:paraId="0ADE65DA"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lastRenderedPageBreak/>
              <w:t>Unidade</w:t>
            </w:r>
          </w:p>
        </w:tc>
        <w:tc>
          <w:tcPr>
            <w:tcW w:w="850" w:type="dxa"/>
            <w:tcBorders>
              <w:top w:val="nil"/>
              <w:left w:val="nil"/>
              <w:bottom w:val="single" w:sz="4" w:space="0" w:color="auto"/>
              <w:right w:val="single" w:sz="4" w:space="0" w:color="auto"/>
            </w:tcBorders>
            <w:vAlign w:val="center"/>
            <w:hideMark/>
          </w:tcPr>
          <w:p w14:paraId="10F610A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4AE9697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8,99</w:t>
            </w:r>
          </w:p>
        </w:tc>
        <w:tc>
          <w:tcPr>
            <w:tcW w:w="1134" w:type="dxa"/>
            <w:tcBorders>
              <w:top w:val="nil"/>
              <w:left w:val="nil"/>
              <w:bottom w:val="single" w:sz="4" w:space="0" w:color="auto"/>
              <w:right w:val="single" w:sz="4" w:space="0" w:color="auto"/>
            </w:tcBorders>
            <w:vAlign w:val="center"/>
            <w:hideMark/>
          </w:tcPr>
          <w:p w14:paraId="7780377F"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1.348,50</w:t>
            </w:r>
          </w:p>
        </w:tc>
      </w:tr>
      <w:tr w:rsidR="004951F3" w:rsidRPr="00CD5B61" w14:paraId="4A95A12B" w14:textId="77777777" w:rsidTr="001D295D">
        <w:trPr>
          <w:trHeight w:val="527"/>
        </w:trPr>
        <w:tc>
          <w:tcPr>
            <w:tcW w:w="546" w:type="dxa"/>
            <w:tcBorders>
              <w:top w:val="nil"/>
              <w:left w:val="nil"/>
              <w:bottom w:val="single" w:sz="4" w:space="0" w:color="auto"/>
              <w:right w:val="single" w:sz="4" w:space="0" w:color="auto"/>
            </w:tcBorders>
            <w:vAlign w:val="center"/>
            <w:hideMark/>
          </w:tcPr>
          <w:p w14:paraId="23467BF1"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15</w:t>
            </w:r>
          </w:p>
        </w:tc>
        <w:tc>
          <w:tcPr>
            <w:tcW w:w="4983" w:type="dxa"/>
            <w:tcBorders>
              <w:top w:val="nil"/>
              <w:left w:val="nil"/>
              <w:bottom w:val="single" w:sz="4" w:space="0" w:color="auto"/>
              <w:right w:val="single" w:sz="4" w:space="0" w:color="auto"/>
            </w:tcBorders>
            <w:vAlign w:val="center"/>
            <w:hideMark/>
          </w:tcPr>
          <w:p w14:paraId="620DA2B7"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P1, Placa com indicação de proibido fumar, placa circular com fundo branco e pictograma preto faixa circular e barra diametral vermelha, com dimensão mínima de 252 mm de diâmetro. Cores e </w:t>
            </w:r>
            <w:proofErr w:type="spellStart"/>
            <w:r w:rsidRPr="004951F3">
              <w:rPr>
                <w:rFonts w:ascii="Arial" w:hAnsi="Arial" w:cs="Arial"/>
                <w:sz w:val="22"/>
                <w:szCs w:val="22"/>
              </w:rPr>
              <w:t>simbolos</w:t>
            </w:r>
            <w:proofErr w:type="spellEnd"/>
            <w:r w:rsidRPr="004951F3">
              <w:rPr>
                <w:rFonts w:ascii="Arial" w:hAnsi="Arial" w:cs="Arial"/>
                <w:sz w:val="22"/>
                <w:szCs w:val="22"/>
              </w:rPr>
              <w:t xml:space="preserve"> conforme NPT 020.</w:t>
            </w:r>
          </w:p>
        </w:tc>
        <w:tc>
          <w:tcPr>
            <w:tcW w:w="851" w:type="dxa"/>
            <w:tcBorders>
              <w:top w:val="nil"/>
              <w:left w:val="nil"/>
              <w:bottom w:val="single" w:sz="4" w:space="0" w:color="auto"/>
              <w:right w:val="single" w:sz="4" w:space="0" w:color="auto"/>
            </w:tcBorders>
            <w:vAlign w:val="center"/>
            <w:hideMark/>
          </w:tcPr>
          <w:p w14:paraId="40284256"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6385C0BF"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1D40419F"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10,87</w:t>
            </w:r>
          </w:p>
        </w:tc>
        <w:tc>
          <w:tcPr>
            <w:tcW w:w="1134" w:type="dxa"/>
            <w:tcBorders>
              <w:top w:val="nil"/>
              <w:left w:val="nil"/>
              <w:bottom w:val="single" w:sz="4" w:space="0" w:color="auto"/>
              <w:right w:val="single" w:sz="4" w:space="0" w:color="auto"/>
            </w:tcBorders>
            <w:vAlign w:val="center"/>
            <w:hideMark/>
          </w:tcPr>
          <w:p w14:paraId="45222942"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1.630,50</w:t>
            </w:r>
          </w:p>
        </w:tc>
      </w:tr>
      <w:tr w:rsidR="004951F3" w:rsidRPr="00CD5B61" w14:paraId="50F2BC62" w14:textId="77777777" w:rsidTr="001D295D">
        <w:trPr>
          <w:trHeight w:val="879"/>
        </w:trPr>
        <w:tc>
          <w:tcPr>
            <w:tcW w:w="546" w:type="dxa"/>
            <w:tcBorders>
              <w:top w:val="nil"/>
              <w:left w:val="nil"/>
              <w:bottom w:val="single" w:sz="4" w:space="0" w:color="auto"/>
              <w:right w:val="single" w:sz="4" w:space="0" w:color="auto"/>
            </w:tcBorders>
            <w:vAlign w:val="center"/>
            <w:hideMark/>
          </w:tcPr>
          <w:p w14:paraId="6800CD38"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16</w:t>
            </w:r>
          </w:p>
        </w:tc>
        <w:tc>
          <w:tcPr>
            <w:tcW w:w="4983" w:type="dxa"/>
            <w:tcBorders>
              <w:top w:val="nil"/>
              <w:left w:val="nil"/>
              <w:bottom w:val="single" w:sz="4" w:space="0" w:color="auto"/>
              <w:right w:val="single" w:sz="4" w:space="0" w:color="auto"/>
            </w:tcBorders>
            <w:vAlign w:val="center"/>
            <w:hideMark/>
          </w:tcPr>
          <w:p w14:paraId="01CDD05D"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M1, Placa com Indicação dos sistemas de proteção contra incêndio existentes na edificação, placa retangular com fundo verde, mensagem escrita referente aos sistemas de proteção contra incêndio existentes na edificação, o tipo de estrutura e os telefones de emergência com letra branca. Cores e </w:t>
            </w:r>
            <w:proofErr w:type="spellStart"/>
            <w:r w:rsidRPr="004951F3">
              <w:rPr>
                <w:rFonts w:ascii="Arial" w:hAnsi="Arial" w:cs="Arial"/>
                <w:sz w:val="22"/>
                <w:szCs w:val="22"/>
              </w:rPr>
              <w:t>simbolos</w:t>
            </w:r>
            <w:proofErr w:type="spellEnd"/>
            <w:r w:rsidRPr="004951F3">
              <w:rPr>
                <w:rFonts w:ascii="Arial" w:hAnsi="Arial" w:cs="Arial"/>
                <w:sz w:val="22"/>
                <w:szCs w:val="22"/>
              </w:rPr>
              <w:t xml:space="preserve"> conforme NPT 020.</w:t>
            </w:r>
          </w:p>
        </w:tc>
        <w:tc>
          <w:tcPr>
            <w:tcW w:w="851" w:type="dxa"/>
            <w:tcBorders>
              <w:top w:val="nil"/>
              <w:left w:val="nil"/>
              <w:bottom w:val="single" w:sz="4" w:space="0" w:color="auto"/>
              <w:right w:val="single" w:sz="4" w:space="0" w:color="auto"/>
            </w:tcBorders>
            <w:vAlign w:val="center"/>
            <w:hideMark/>
          </w:tcPr>
          <w:p w14:paraId="4FBF2C4B"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74130F0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150</w:t>
            </w:r>
          </w:p>
        </w:tc>
        <w:tc>
          <w:tcPr>
            <w:tcW w:w="1559" w:type="dxa"/>
            <w:tcBorders>
              <w:top w:val="nil"/>
              <w:left w:val="nil"/>
              <w:bottom w:val="single" w:sz="4" w:space="0" w:color="auto"/>
              <w:right w:val="single" w:sz="4" w:space="0" w:color="auto"/>
            </w:tcBorders>
            <w:vAlign w:val="center"/>
            <w:hideMark/>
          </w:tcPr>
          <w:p w14:paraId="1A34E2A7"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44,67</w:t>
            </w:r>
          </w:p>
        </w:tc>
        <w:tc>
          <w:tcPr>
            <w:tcW w:w="1134" w:type="dxa"/>
            <w:tcBorders>
              <w:top w:val="nil"/>
              <w:left w:val="nil"/>
              <w:bottom w:val="single" w:sz="4" w:space="0" w:color="auto"/>
              <w:right w:val="single" w:sz="4" w:space="0" w:color="auto"/>
            </w:tcBorders>
            <w:vAlign w:val="center"/>
            <w:hideMark/>
          </w:tcPr>
          <w:p w14:paraId="79E7E96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6.700,50</w:t>
            </w:r>
          </w:p>
        </w:tc>
      </w:tr>
      <w:tr w:rsidR="004951F3" w:rsidRPr="00CD5B61" w14:paraId="01C0F65B" w14:textId="77777777" w:rsidTr="001D295D">
        <w:trPr>
          <w:trHeight w:val="703"/>
        </w:trPr>
        <w:tc>
          <w:tcPr>
            <w:tcW w:w="546" w:type="dxa"/>
            <w:tcBorders>
              <w:top w:val="nil"/>
              <w:left w:val="nil"/>
              <w:bottom w:val="single" w:sz="4" w:space="0" w:color="auto"/>
              <w:right w:val="single" w:sz="4" w:space="0" w:color="auto"/>
            </w:tcBorders>
            <w:vAlign w:val="center"/>
            <w:hideMark/>
          </w:tcPr>
          <w:p w14:paraId="330F247B"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17</w:t>
            </w:r>
          </w:p>
        </w:tc>
        <w:tc>
          <w:tcPr>
            <w:tcW w:w="4983" w:type="dxa"/>
            <w:tcBorders>
              <w:top w:val="nil"/>
              <w:left w:val="nil"/>
              <w:bottom w:val="single" w:sz="4" w:space="0" w:color="auto"/>
              <w:right w:val="single" w:sz="4" w:space="0" w:color="auto"/>
            </w:tcBorders>
            <w:vAlign w:val="center"/>
            <w:hideMark/>
          </w:tcPr>
          <w:p w14:paraId="66F76117"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M2, Placa </w:t>
            </w:r>
            <w:proofErr w:type="spellStart"/>
            <w:r w:rsidRPr="004951F3">
              <w:rPr>
                <w:rFonts w:ascii="Arial" w:hAnsi="Arial" w:cs="Arial"/>
                <w:sz w:val="22"/>
                <w:szCs w:val="22"/>
              </w:rPr>
              <w:t>comIndicação</w:t>
            </w:r>
            <w:proofErr w:type="spellEnd"/>
            <w:r w:rsidRPr="004951F3">
              <w:rPr>
                <w:rFonts w:ascii="Arial" w:hAnsi="Arial" w:cs="Arial"/>
                <w:sz w:val="22"/>
                <w:szCs w:val="22"/>
              </w:rPr>
              <w:t xml:space="preserve"> da lotação máxima admitida no recinto de reunião de público, placa retangular com fundo verde, mensagem escrita “Capacidade de Público XXX. Em caso de emergência ligue 193 – Corpo de Bombeiros” Letra: branca. Cores e </w:t>
            </w:r>
            <w:proofErr w:type="spellStart"/>
            <w:r w:rsidRPr="004951F3">
              <w:rPr>
                <w:rFonts w:ascii="Arial" w:hAnsi="Arial" w:cs="Arial"/>
                <w:sz w:val="22"/>
                <w:szCs w:val="22"/>
              </w:rPr>
              <w:t>simbolos</w:t>
            </w:r>
            <w:proofErr w:type="spellEnd"/>
            <w:r w:rsidRPr="004951F3">
              <w:rPr>
                <w:rFonts w:ascii="Arial" w:hAnsi="Arial" w:cs="Arial"/>
                <w:sz w:val="22"/>
                <w:szCs w:val="22"/>
              </w:rPr>
              <w:t xml:space="preserve"> conforme NPT 020.</w:t>
            </w:r>
          </w:p>
        </w:tc>
        <w:tc>
          <w:tcPr>
            <w:tcW w:w="851" w:type="dxa"/>
            <w:tcBorders>
              <w:top w:val="nil"/>
              <w:left w:val="nil"/>
              <w:bottom w:val="single" w:sz="4" w:space="0" w:color="auto"/>
              <w:right w:val="single" w:sz="4" w:space="0" w:color="auto"/>
            </w:tcBorders>
            <w:vAlign w:val="center"/>
            <w:hideMark/>
          </w:tcPr>
          <w:p w14:paraId="3B54AA7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3A1C5B6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6CEBD695"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16,62</w:t>
            </w:r>
          </w:p>
        </w:tc>
        <w:tc>
          <w:tcPr>
            <w:tcW w:w="1134" w:type="dxa"/>
            <w:tcBorders>
              <w:top w:val="nil"/>
              <w:left w:val="nil"/>
              <w:bottom w:val="single" w:sz="4" w:space="0" w:color="auto"/>
              <w:right w:val="single" w:sz="4" w:space="0" w:color="auto"/>
            </w:tcBorders>
            <w:vAlign w:val="center"/>
            <w:hideMark/>
          </w:tcPr>
          <w:p w14:paraId="2E94139B"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2.991,60</w:t>
            </w:r>
          </w:p>
        </w:tc>
      </w:tr>
      <w:tr w:rsidR="004951F3" w:rsidRPr="00CD5B61" w14:paraId="5E88D739" w14:textId="77777777" w:rsidTr="001D295D">
        <w:trPr>
          <w:trHeight w:val="527"/>
        </w:trPr>
        <w:tc>
          <w:tcPr>
            <w:tcW w:w="546" w:type="dxa"/>
            <w:tcBorders>
              <w:top w:val="nil"/>
              <w:left w:val="nil"/>
              <w:bottom w:val="single" w:sz="4" w:space="0" w:color="auto"/>
              <w:right w:val="single" w:sz="4" w:space="0" w:color="auto"/>
            </w:tcBorders>
            <w:vAlign w:val="center"/>
            <w:hideMark/>
          </w:tcPr>
          <w:p w14:paraId="1865DD5F"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18</w:t>
            </w:r>
          </w:p>
        </w:tc>
        <w:tc>
          <w:tcPr>
            <w:tcW w:w="4983" w:type="dxa"/>
            <w:tcBorders>
              <w:top w:val="nil"/>
              <w:left w:val="nil"/>
              <w:bottom w:val="single" w:sz="4" w:space="0" w:color="auto"/>
              <w:right w:val="single" w:sz="4" w:space="0" w:color="auto"/>
            </w:tcBorders>
            <w:vAlign w:val="center"/>
            <w:hideMark/>
          </w:tcPr>
          <w:p w14:paraId="16EA4368"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Placas tipo M3, Placa com Indicação de aperte e empurre o dispositivo de abertura de porta, aplicados em saídas com porta </w:t>
            </w:r>
            <w:proofErr w:type="spellStart"/>
            <w:r w:rsidRPr="004951F3">
              <w:rPr>
                <w:rFonts w:ascii="Arial" w:hAnsi="Arial" w:cs="Arial"/>
                <w:sz w:val="22"/>
                <w:szCs w:val="22"/>
              </w:rPr>
              <w:t>anti-pânico</w:t>
            </w:r>
            <w:proofErr w:type="spellEnd"/>
            <w:r w:rsidRPr="004951F3">
              <w:rPr>
                <w:rFonts w:ascii="Arial" w:hAnsi="Arial" w:cs="Arial"/>
                <w:sz w:val="22"/>
                <w:szCs w:val="22"/>
              </w:rPr>
              <w:t xml:space="preserve">. Cores e </w:t>
            </w:r>
            <w:proofErr w:type="spellStart"/>
            <w:r w:rsidRPr="004951F3">
              <w:rPr>
                <w:rFonts w:ascii="Arial" w:hAnsi="Arial" w:cs="Arial"/>
                <w:sz w:val="22"/>
                <w:szCs w:val="22"/>
              </w:rPr>
              <w:t>simbolos</w:t>
            </w:r>
            <w:proofErr w:type="spellEnd"/>
            <w:r w:rsidRPr="004951F3">
              <w:rPr>
                <w:rFonts w:ascii="Arial" w:hAnsi="Arial" w:cs="Arial"/>
                <w:sz w:val="22"/>
                <w:szCs w:val="22"/>
              </w:rPr>
              <w:t xml:space="preserve"> conforme NPT 020.</w:t>
            </w:r>
          </w:p>
        </w:tc>
        <w:tc>
          <w:tcPr>
            <w:tcW w:w="851" w:type="dxa"/>
            <w:tcBorders>
              <w:top w:val="nil"/>
              <w:left w:val="nil"/>
              <w:bottom w:val="single" w:sz="4" w:space="0" w:color="auto"/>
              <w:right w:val="single" w:sz="4" w:space="0" w:color="auto"/>
            </w:tcBorders>
            <w:vAlign w:val="center"/>
            <w:hideMark/>
          </w:tcPr>
          <w:p w14:paraId="3428A19B"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15CC9353"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w:t>
            </w:r>
          </w:p>
        </w:tc>
        <w:tc>
          <w:tcPr>
            <w:tcW w:w="1559" w:type="dxa"/>
            <w:tcBorders>
              <w:top w:val="nil"/>
              <w:left w:val="nil"/>
              <w:bottom w:val="single" w:sz="4" w:space="0" w:color="auto"/>
              <w:right w:val="single" w:sz="4" w:space="0" w:color="auto"/>
            </w:tcBorders>
            <w:vAlign w:val="center"/>
            <w:hideMark/>
          </w:tcPr>
          <w:p w14:paraId="643C8CB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18,33</w:t>
            </w:r>
          </w:p>
        </w:tc>
        <w:tc>
          <w:tcPr>
            <w:tcW w:w="1134" w:type="dxa"/>
            <w:tcBorders>
              <w:top w:val="nil"/>
              <w:left w:val="nil"/>
              <w:bottom w:val="single" w:sz="4" w:space="0" w:color="auto"/>
              <w:right w:val="single" w:sz="4" w:space="0" w:color="auto"/>
            </w:tcBorders>
            <w:vAlign w:val="center"/>
            <w:hideMark/>
          </w:tcPr>
          <w:p w14:paraId="01EF908B"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3.299,40</w:t>
            </w:r>
          </w:p>
        </w:tc>
      </w:tr>
      <w:tr w:rsidR="004951F3" w:rsidRPr="00CD5B61" w14:paraId="67D503E5" w14:textId="77777777" w:rsidTr="001D295D">
        <w:trPr>
          <w:trHeight w:val="527"/>
        </w:trPr>
        <w:tc>
          <w:tcPr>
            <w:tcW w:w="546" w:type="dxa"/>
            <w:tcBorders>
              <w:top w:val="nil"/>
              <w:left w:val="nil"/>
              <w:bottom w:val="single" w:sz="4" w:space="0" w:color="auto"/>
              <w:right w:val="single" w:sz="4" w:space="0" w:color="auto"/>
            </w:tcBorders>
            <w:vAlign w:val="center"/>
            <w:hideMark/>
          </w:tcPr>
          <w:p w14:paraId="284651BC"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19</w:t>
            </w:r>
          </w:p>
        </w:tc>
        <w:tc>
          <w:tcPr>
            <w:tcW w:w="4983" w:type="dxa"/>
            <w:tcBorders>
              <w:top w:val="nil"/>
              <w:left w:val="nil"/>
              <w:bottom w:val="single" w:sz="4" w:space="0" w:color="auto"/>
              <w:right w:val="single" w:sz="4" w:space="0" w:color="auto"/>
            </w:tcBorders>
            <w:vAlign w:val="center"/>
            <w:hideMark/>
          </w:tcPr>
          <w:p w14:paraId="2CBA62BA"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Faixa Zebrada tipo O1, Placa com Indicação de </w:t>
            </w:r>
            <w:proofErr w:type="gramStart"/>
            <w:r w:rsidRPr="004951F3">
              <w:rPr>
                <w:rFonts w:ascii="Arial" w:hAnsi="Arial" w:cs="Arial"/>
                <w:sz w:val="22"/>
                <w:szCs w:val="22"/>
              </w:rPr>
              <w:t>obstáculo ,</w:t>
            </w:r>
            <w:proofErr w:type="gramEnd"/>
            <w:r w:rsidRPr="004951F3">
              <w:rPr>
                <w:rFonts w:ascii="Arial" w:hAnsi="Arial" w:cs="Arial"/>
                <w:sz w:val="22"/>
                <w:szCs w:val="22"/>
              </w:rPr>
              <w:t xml:space="preserve"> símbolo retangular, fundo amarelo, e </w:t>
            </w:r>
            <w:proofErr w:type="spellStart"/>
            <w:r w:rsidRPr="004951F3">
              <w:rPr>
                <w:rFonts w:ascii="Arial" w:hAnsi="Arial" w:cs="Arial"/>
                <w:sz w:val="22"/>
                <w:szCs w:val="22"/>
              </w:rPr>
              <w:t>litras</w:t>
            </w:r>
            <w:proofErr w:type="spellEnd"/>
            <w:r w:rsidRPr="004951F3">
              <w:rPr>
                <w:rFonts w:ascii="Arial" w:hAnsi="Arial" w:cs="Arial"/>
                <w:sz w:val="22"/>
                <w:szCs w:val="22"/>
              </w:rPr>
              <w:t xml:space="preserve"> pretas inclinadas a 45º, aplicados a obstáculos e a desníveis. Cores e </w:t>
            </w:r>
            <w:proofErr w:type="spellStart"/>
            <w:r w:rsidRPr="004951F3">
              <w:rPr>
                <w:rFonts w:ascii="Arial" w:hAnsi="Arial" w:cs="Arial"/>
                <w:sz w:val="22"/>
                <w:szCs w:val="22"/>
              </w:rPr>
              <w:t>simbolos</w:t>
            </w:r>
            <w:proofErr w:type="spellEnd"/>
            <w:r w:rsidRPr="004951F3">
              <w:rPr>
                <w:rFonts w:ascii="Arial" w:hAnsi="Arial" w:cs="Arial"/>
                <w:sz w:val="22"/>
                <w:szCs w:val="22"/>
              </w:rPr>
              <w:t xml:space="preserve"> conforme NPT 020.</w:t>
            </w:r>
          </w:p>
        </w:tc>
        <w:tc>
          <w:tcPr>
            <w:tcW w:w="851" w:type="dxa"/>
            <w:tcBorders>
              <w:top w:val="nil"/>
              <w:left w:val="nil"/>
              <w:bottom w:val="single" w:sz="4" w:space="0" w:color="auto"/>
              <w:right w:val="single" w:sz="4" w:space="0" w:color="auto"/>
            </w:tcBorders>
            <w:vAlign w:val="center"/>
            <w:hideMark/>
          </w:tcPr>
          <w:p w14:paraId="056A53B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5B1A344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200</w:t>
            </w:r>
          </w:p>
        </w:tc>
        <w:tc>
          <w:tcPr>
            <w:tcW w:w="1559" w:type="dxa"/>
            <w:tcBorders>
              <w:top w:val="nil"/>
              <w:left w:val="nil"/>
              <w:bottom w:val="single" w:sz="4" w:space="0" w:color="auto"/>
              <w:right w:val="single" w:sz="4" w:space="0" w:color="auto"/>
            </w:tcBorders>
            <w:vAlign w:val="center"/>
            <w:hideMark/>
          </w:tcPr>
          <w:p w14:paraId="175536E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9,00</w:t>
            </w:r>
          </w:p>
        </w:tc>
        <w:tc>
          <w:tcPr>
            <w:tcW w:w="1134" w:type="dxa"/>
            <w:tcBorders>
              <w:top w:val="nil"/>
              <w:left w:val="nil"/>
              <w:bottom w:val="single" w:sz="4" w:space="0" w:color="auto"/>
              <w:right w:val="single" w:sz="4" w:space="0" w:color="auto"/>
            </w:tcBorders>
            <w:vAlign w:val="center"/>
            <w:hideMark/>
          </w:tcPr>
          <w:p w14:paraId="3B27257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1.800,00</w:t>
            </w:r>
          </w:p>
        </w:tc>
      </w:tr>
      <w:tr w:rsidR="004951F3" w:rsidRPr="00CD5B61" w14:paraId="094CEEA6" w14:textId="77777777" w:rsidTr="001D295D">
        <w:trPr>
          <w:trHeight w:val="351"/>
        </w:trPr>
        <w:tc>
          <w:tcPr>
            <w:tcW w:w="546" w:type="dxa"/>
            <w:tcBorders>
              <w:top w:val="nil"/>
              <w:left w:val="nil"/>
              <w:bottom w:val="single" w:sz="4" w:space="0" w:color="auto"/>
              <w:right w:val="single" w:sz="4" w:space="0" w:color="auto"/>
            </w:tcBorders>
            <w:vAlign w:val="center"/>
            <w:hideMark/>
          </w:tcPr>
          <w:p w14:paraId="4D251FC9"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20</w:t>
            </w:r>
          </w:p>
        </w:tc>
        <w:tc>
          <w:tcPr>
            <w:tcW w:w="4983" w:type="dxa"/>
            <w:tcBorders>
              <w:top w:val="nil"/>
              <w:left w:val="nil"/>
              <w:bottom w:val="single" w:sz="4" w:space="0" w:color="auto"/>
              <w:right w:val="single" w:sz="4" w:space="0" w:color="auto"/>
            </w:tcBorders>
            <w:vAlign w:val="center"/>
            <w:hideMark/>
          </w:tcPr>
          <w:p w14:paraId="24414886"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Extintor portátil de água, classe A, carga d’água: extintor com capacidade extintora de, no mínimo, 2-A. Com suporte de fixação</w:t>
            </w:r>
          </w:p>
        </w:tc>
        <w:tc>
          <w:tcPr>
            <w:tcW w:w="851" w:type="dxa"/>
            <w:tcBorders>
              <w:top w:val="nil"/>
              <w:left w:val="nil"/>
              <w:bottom w:val="single" w:sz="4" w:space="0" w:color="auto"/>
              <w:right w:val="single" w:sz="4" w:space="0" w:color="auto"/>
            </w:tcBorders>
            <w:vAlign w:val="center"/>
            <w:hideMark/>
          </w:tcPr>
          <w:p w14:paraId="778802BC"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37DDE022"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200</w:t>
            </w:r>
          </w:p>
        </w:tc>
        <w:tc>
          <w:tcPr>
            <w:tcW w:w="1559" w:type="dxa"/>
            <w:tcBorders>
              <w:top w:val="nil"/>
              <w:left w:val="nil"/>
              <w:bottom w:val="single" w:sz="4" w:space="0" w:color="auto"/>
              <w:right w:val="single" w:sz="4" w:space="0" w:color="auto"/>
            </w:tcBorders>
            <w:vAlign w:val="center"/>
            <w:hideMark/>
          </w:tcPr>
          <w:p w14:paraId="55EC3950"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143,50</w:t>
            </w:r>
          </w:p>
        </w:tc>
        <w:tc>
          <w:tcPr>
            <w:tcW w:w="1134" w:type="dxa"/>
            <w:tcBorders>
              <w:top w:val="nil"/>
              <w:left w:val="nil"/>
              <w:bottom w:val="single" w:sz="4" w:space="0" w:color="auto"/>
              <w:right w:val="single" w:sz="4" w:space="0" w:color="auto"/>
            </w:tcBorders>
            <w:vAlign w:val="center"/>
            <w:hideMark/>
          </w:tcPr>
          <w:p w14:paraId="625F9E68"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28.700,00</w:t>
            </w:r>
          </w:p>
        </w:tc>
      </w:tr>
      <w:tr w:rsidR="004951F3" w:rsidRPr="00CD5B61" w14:paraId="5A993BFD" w14:textId="77777777" w:rsidTr="001D295D">
        <w:trPr>
          <w:trHeight w:val="351"/>
        </w:trPr>
        <w:tc>
          <w:tcPr>
            <w:tcW w:w="546" w:type="dxa"/>
            <w:tcBorders>
              <w:top w:val="nil"/>
              <w:left w:val="nil"/>
              <w:bottom w:val="single" w:sz="4" w:space="0" w:color="auto"/>
              <w:right w:val="single" w:sz="4" w:space="0" w:color="auto"/>
            </w:tcBorders>
            <w:vAlign w:val="center"/>
            <w:hideMark/>
          </w:tcPr>
          <w:p w14:paraId="5F2F436E"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21</w:t>
            </w:r>
          </w:p>
        </w:tc>
        <w:tc>
          <w:tcPr>
            <w:tcW w:w="4983" w:type="dxa"/>
            <w:tcBorders>
              <w:top w:val="nil"/>
              <w:left w:val="nil"/>
              <w:bottom w:val="single" w:sz="4" w:space="0" w:color="auto"/>
              <w:right w:val="single" w:sz="4" w:space="0" w:color="auto"/>
            </w:tcBorders>
            <w:vAlign w:val="center"/>
            <w:hideMark/>
          </w:tcPr>
          <w:p w14:paraId="333AABC1"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Extintor portátil de espuma classe AB, carga de espuma mecânica: extintor com capacidade extintora de no mínimo 2-</w:t>
            </w:r>
            <w:proofErr w:type="gramStart"/>
            <w:r w:rsidRPr="004951F3">
              <w:rPr>
                <w:rFonts w:ascii="Arial" w:hAnsi="Arial" w:cs="Arial"/>
                <w:sz w:val="22"/>
                <w:szCs w:val="22"/>
              </w:rPr>
              <w:t>A :</w:t>
            </w:r>
            <w:proofErr w:type="gramEnd"/>
            <w:r w:rsidRPr="004951F3">
              <w:rPr>
                <w:rFonts w:ascii="Arial" w:hAnsi="Arial" w:cs="Arial"/>
                <w:sz w:val="22"/>
                <w:szCs w:val="22"/>
              </w:rPr>
              <w:t xml:space="preserve"> 10-B. Com suporte de fixação</w:t>
            </w:r>
          </w:p>
        </w:tc>
        <w:tc>
          <w:tcPr>
            <w:tcW w:w="851" w:type="dxa"/>
            <w:tcBorders>
              <w:top w:val="nil"/>
              <w:left w:val="nil"/>
              <w:bottom w:val="single" w:sz="4" w:space="0" w:color="auto"/>
              <w:right w:val="single" w:sz="4" w:space="0" w:color="auto"/>
            </w:tcBorders>
            <w:vAlign w:val="center"/>
            <w:hideMark/>
          </w:tcPr>
          <w:p w14:paraId="6CDBC7F4"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4692C85D"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200</w:t>
            </w:r>
          </w:p>
        </w:tc>
        <w:tc>
          <w:tcPr>
            <w:tcW w:w="1559" w:type="dxa"/>
            <w:tcBorders>
              <w:top w:val="nil"/>
              <w:left w:val="nil"/>
              <w:bottom w:val="single" w:sz="4" w:space="0" w:color="auto"/>
              <w:right w:val="single" w:sz="4" w:space="0" w:color="auto"/>
            </w:tcBorders>
            <w:vAlign w:val="center"/>
            <w:hideMark/>
          </w:tcPr>
          <w:p w14:paraId="081D60D8"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345,00</w:t>
            </w:r>
          </w:p>
        </w:tc>
        <w:tc>
          <w:tcPr>
            <w:tcW w:w="1134" w:type="dxa"/>
            <w:tcBorders>
              <w:top w:val="nil"/>
              <w:left w:val="nil"/>
              <w:bottom w:val="single" w:sz="4" w:space="0" w:color="auto"/>
              <w:right w:val="single" w:sz="4" w:space="0" w:color="auto"/>
            </w:tcBorders>
            <w:vAlign w:val="center"/>
            <w:hideMark/>
          </w:tcPr>
          <w:p w14:paraId="6A18F5C3"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69.000,00</w:t>
            </w:r>
          </w:p>
        </w:tc>
      </w:tr>
      <w:tr w:rsidR="004951F3" w:rsidRPr="00CD5B61" w14:paraId="7C10C760" w14:textId="77777777" w:rsidTr="001D295D">
        <w:trPr>
          <w:trHeight w:val="351"/>
        </w:trPr>
        <w:tc>
          <w:tcPr>
            <w:tcW w:w="546" w:type="dxa"/>
            <w:tcBorders>
              <w:top w:val="nil"/>
              <w:left w:val="nil"/>
              <w:bottom w:val="single" w:sz="4" w:space="0" w:color="auto"/>
              <w:right w:val="single" w:sz="4" w:space="0" w:color="auto"/>
            </w:tcBorders>
            <w:vAlign w:val="center"/>
            <w:hideMark/>
          </w:tcPr>
          <w:p w14:paraId="01551B1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22</w:t>
            </w:r>
          </w:p>
        </w:tc>
        <w:tc>
          <w:tcPr>
            <w:tcW w:w="4983" w:type="dxa"/>
            <w:tcBorders>
              <w:top w:val="nil"/>
              <w:left w:val="nil"/>
              <w:bottom w:val="single" w:sz="4" w:space="0" w:color="auto"/>
              <w:right w:val="single" w:sz="4" w:space="0" w:color="auto"/>
            </w:tcBorders>
            <w:vAlign w:val="center"/>
            <w:hideMark/>
          </w:tcPr>
          <w:p w14:paraId="38FCFE46"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Extintor portátil de gás carbônico, classe BC, carga de pó BC: extintor com capacidade extintora de no mínimo 20-B:C</w:t>
            </w:r>
          </w:p>
        </w:tc>
        <w:tc>
          <w:tcPr>
            <w:tcW w:w="851" w:type="dxa"/>
            <w:tcBorders>
              <w:top w:val="nil"/>
              <w:left w:val="nil"/>
              <w:bottom w:val="single" w:sz="4" w:space="0" w:color="auto"/>
              <w:right w:val="single" w:sz="4" w:space="0" w:color="auto"/>
            </w:tcBorders>
            <w:vAlign w:val="center"/>
            <w:hideMark/>
          </w:tcPr>
          <w:p w14:paraId="5CB390C1"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6FC532CC"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200</w:t>
            </w:r>
          </w:p>
        </w:tc>
        <w:tc>
          <w:tcPr>
            <w:tcW w:w="1559" w:type="dxa"/>
            <w:tcBorders>
              <w:top w:val="nil"/>
              <w:left w:val="nil"/>
              <w:bottom w:val="single" w:sz="4" w:space="0" w:color="auto"/>
              <w:right w:val="single" w:sz="4" w:space="0" w:color="auto"/>
            </w:tcBorders>
            <w:vAlign w:val="center"/>
            <w:hideMark/>
          </w:tcPr>
          <w:p w14:paraId="7B3AB185"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193,05</w:t>
            </w:r>
          </w:p>
        </w:tc>
        <w:tc>
          <w:tcPr>
            <w:tcW w:w="1134" w:type="dxa"/>
            <w:tcBorders>
              <w:top w:val="nil"/>
              <w:left w:val="nil"/>
              <w:bottom w:val="single" w:sz="4" w:space="0" w:color="auto"/>
              <w:right w:val="single" w:sz="4" w:space="0" w:color="auto"/>
            </w:tcBorders>
            <w:vAlign w:val="center"/>
            <w:hideMark/>
          </w:tcPr>
          <w:p w14:paraId="15B92D6F"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38.610,00</w:t>
            </w:r>
          </w:p>
        </w:tc>
      </w:tr>
      <w:tr w:rsidR="004951F3" w:rsidRPr="00CD5B61" w14:paraId="7359BC8D" w14:textId="77777777" w:rsidTr="001D295D">
        <w:trPr>
          <w:trHeight w:val="351"/>
        </w:trPr>
        <w:tc>
          <w:tcPr>
            <w:tcW w:w="546" w:type="dxa"/>
            <w:tcBorders>
              <w:top w:val="nil"/>
              <w:left w:val="nil"/>
              <w:bottom w:val="single" w:sz="4" w:space="0" w:color="auto"/>
              <w:right w:val="single" w:sz="4" w:space="0" w:color="auto"/>
            </w:tcBorders>
            <w:vAlign w:val="center"/>
            <w:hideMark/>
          </w:tcPr>
          <w:p w14:paraId="33D44FDB"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lastRenderedPageBreak/>
              <w:t>23</w:t>
            </w:r>
          </w:p>
        </w:tc>
        <w:tc>
          <w:tcPr>
            <w:tcW w:w="4983" w:type="dxa"/>
            <w:tcBorders>
              <w:top w:val="nil"/>
              <w:left w:val="nil"/>
              <w:bottom w:val="single" w:sz="4" w:space="0" w:color="auto"/>
              <w:right w:val="single" w:sz="4" w:space="0" w:color="auto"/>
            </w:tcBorders>
            <w:vAlign w:val="center"/>
            <w:hideMark/>
          </w:tcPr>
          <w:p w14:paraId="730843DF"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Extintor portátil de pó químico, classe ABC, carga de pó ABC – extintor com capacidade extintora de no mínimo 2-</w:t>
            </w:r>
            <w:proofErr w:type="gramStart"/>
            <w:r w:rsidRPr="004951F3">
              <w:rPr>
                <w:rFonts w:ascii="Arial" w:hAnsi="Arial" w:cs="Arial"/>
                <w:sz w:val="22"/>
                <w:szCs w:val="22"/>
              </w:rPr>
              <w:t>A :</w:t>
            </w:r>
            <w:proofErr w:type="gramEnd"/>
            <w:r w:rsidRPr="004951F3">
              <w:rPr>
                <w:rFonts w:ascii="Arial" w:hAnsi="Arial" w:cs="Arial"/>
                <w:sz w:val="22"/>
                <w:szCs w:val="22"/>
              </w:rPr>
              <w:t xml:space="preserve"> 20-B:C</w:t>
            </w:r>
          </w:p>
        </w:tc>
        <w:tc>
          <w:tcPr>
            <w:tcW w:w="851" w:type="dxa"/>
            <w:tcBorders>
              <w:top w:val="nil"/>
              <w:left w:val="nil"/>
              <w:bottom w:val="single" w:sz="4" w:space="0" w:color="auto"/>
              <w:right w:val="single" w:sz="4" w:space="0" w:color="auto"/>
            </w:tcBorders>
            <w:vAlign w:val="center"/>
            <w:hideMark/>
          </w:tcPr>
          <w:p w14:paraId="1F20AE83"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43D38BA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200</w:t>
            </w:r>
          </w:p>
        </w:tc>
        <w:tc>
          <w:tcPr>
            <w:tcW w:w="1559" w:type="dxa"/>
            <w:tcBorders>
              <w:top w:val="nil"/>
              <w:left w:val="nil"/>
              <w:bottom w:val="single" w:sz="4" w:space="0" w:color="auto"/>
              <w:right w:val="single" w:sz="4" w:space="0" w:color="auto"/>
            </w:tcBorders>
            <w:vAlign w:val="center"/>
            <w:hideMark/>
          </w:tcPr>
          <w:p w14:paraId="25A1DBD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186,67</w:t>
            </w:r>
          </w:p>
        </w:tc>
        <w:tc>
          <w:tcPr>
            <w:tcW w:w="1134" w:type="dxa"/>
            <w:tcBorders>
              <w:top w:val="nil"/>
              <w:left w:val="nil"/>
              <w:bottom w:val="single" w:sz="4" w:space="0" w:color="auto"/>
              <w:right w:val="single" w:sz="4" w:space="0" w:color="auto"/>
            </w:tcBorders>
            <w:vAlign w:val="center"/>
            <w:hideMark/>
          </w:tcPr>
          <w:p w14:paraId="4D7A995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37.334,00</w:t>
            </w:r>
          </w:p>
        </w:tc>
      </w:tr>
      <w:tr w:rsidR="004951F3" w:rsidRPr="00CD5B61" w14:paraId="233C8D6A" w14:textId="77777777" w:rsidTr="001D295D">
        <w:trPr>
          <w:trHeight w:val="703"/>
        </w:trPr>
        <w:tc>
          <w:tcPr>
            <w:tcW w:w="546" w:type="dxa"/>
            <w:tcBorders>
              <w:top w:val="nil"/>
              <w:left w:val="nil"/>
              <w:bottom w:val="single" w:sz="4" w:space="0" w:color="auto"/>
              <w:right w:val="single" w:sz="4" w:space="0" w:color="auto"/>
            </w:tcBorders>
            <w:vAlign w:val="center"/>
            <w:hideMark/>
          </w:tcPr>
          <w:p w14:paraId="50F74E03"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24</w:t>
            </w:r>
          </w:p>
        </w:tc>
        <w:tc>
          <w:tcPr>
            <w:tcW w:w="4983" w:type="dxa"/>
            <w:tcBorders>
              <w:top w:val="nil"/>
              <w:left w:val="nil"/>
              <w:bottom w:val="single" w:sz="4" w:space="0" w:color="auto"/>
              <w:right w:val="single" w:sz="4" w:space="0" w:color="auto"/>
            </w:tcBorders>
            <w:vAlign w:val="center"/>
            <w:hideMark/>
          </w:tcPr>
          <w:p w14:paraId="3A78A614"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Luminária de emergência, conjunto bloco autônomo 300 lúmens, Luminária de emergência, tipo bloco autônomo, com no mínimo 300 lúmens, com bateria interna selada, sem manutenção bivolt (127-220 V), com autonomia mínima de 1 hora e perda de 10 % da luminosidade </w:t>
            </w:r>
            <w:proofErr w:type="spellStart"/>
            <w:r w:rsidRPr="004951F3">
              <w:rPr>
                <w:rFonts w:ascii="Arial" w:hAnsi="Arial" w:cs="Arial"/>
                <w:sz w:val="22"/>
                <w:szCs w:val="22"/>
              </w:rPr>
              <w:t>inciail</w:t>
            </w:r>
            <w:proofErr w:type="spellEnd"/>
            <w:r w:rsidRPr="004951F3">
              <w:rPr>
                <w:rFonts w:ascii="Arial" w:hAnsi="Arial" w:cs="Arial"/>
                <w:sz w:val="22"/>
                <w:szCs w:val="22"/>
              </w:rPr>
              <w:t>, conforme NPT 018 e NBR 10898 vigentes.</w:t>
            </w:r>
          </w:p>
        </w:tc>
        <w:tc>
          <w:tcPr>
            <w:tcW w:w="851" w:type="dxa"/>
            <w:tcBorders>
              <w:top w:val="nil"/>
              <w:left w:val="nil"/>
              <w:bottom w:val="single" w:sz="4" w:space="0" w:color="auto"/>
              <w:right w:val="single" w:sz="4" w:space="0" w:color="auto"/>
            </w:tcBorders>
            <w:vAlign w:val="center"/>
            <w:hideMark/>
          </w:tcPr>
          <w:p w14:paraId="418810B4"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1BF58F27"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200</w:t>
            </w:r>
          </w:p>
        </w:tc>
        <w:tc>
          <w:tcPr>
            <w:tcW w:w="1559" w:type="dxa"/>
            <w:tcBorders>
              <w:top w:val="nil"/>
              <w:left w:val="nil"/>
              <w:bottom w:val="single" w:sz="4" w:space="0" w:color="auto"/>
              <w:right w:val="single" w:sz="4" w:space="0" w:color="auto"/>
            </w:tcBorders>
            <w:vAlign w:val="center"/>
            <w:hideMark/>
          </w:tcPr>
          <w:p w14:paraId="368182C4"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32,92</w:t>
            </w:r>
          </w:p>
        </w:tc>
        <w:tc>
          <w:tcPr>
            <w:tcW w:w="1134" w:type="dxa"/>
            <w:tcBorders>
              <w:top w:val="nil"/>
              <w:left w:val="nil"/>
              <w:bottom w:val="single" w:sz="4" w:space="0" w:color="auto"/>
              <w:right w:val="single" w:sz="4" w:space="0" w:color="auto"/>
            </w:tcBorders>
            <w:vAlign w:val="center"/>
            <w:hideMark/>
          </w:tcPr>
          <w:p w14:paraId="21826A8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6.584,00</w:t>
            </w:r>
          </w:p>
        </w:tc>
      </w:tr>
      <w:tr w:rsidR="004951F3" w:rsidRPr="00CD5B61" w14:paraId="284E98DA" w14:textId="77777777" w:rsidTr="001D295D">
        <w:trPr>
          <w:trHeight w:val="703"/>
        </w:trPr>
        <w:tc>
          <w:tcPr>
            <w:tcW w:w="546" w:type="dxa"/>
            <w:tcBorders>
              <w:top w:val="nil"/>
              <w:left w:val="nil"/>
              <w:bottom w:val="single" w:sz="4" w:space="0" w:color="auto"/>
              <w:right w:val="single" w:sz="4" w:space="0" w:color="auto"/>
            </w:tcBorders>
            <w:vAlign w:val="center"/>
            <w:hideMark/>
          </w:tcPr>
          <w:p w14:paraId="735DBF9C"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25</w:t>
            </w:r>
          </w:p>
        </w:tc>
        <w:tc>
          <w:tcPr>
            <w:tcW w:w="4983" w:type="dxa"/>
            <w:tcBorders>
              <w:top w:val="nil"/>
              <w:left w:val="nil"/>
              <w:bottom w:val="single" w:sz="4" w:space="0" w:color="auto"/>
              <w:right w:val="single" w:sz="4" w:space="0" w:color="auto"/>
            </w:tcBorders>
            <w:vAlign w:val="center"/>
            <w:hideMark/>
          </w:tcPr>
          <w:p w14:paraId="6E8CBEDA" w14:textId="64D58A48"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Luminária de emergência, tipo farolete bloco autônomo, com no mínimo 1000 lúmens, com bateria interna selada, sem manutenção bivolt (127-220 V), com autonomia mínima de 1 hora e perda de 10 % da luminosidade</w:t>
            </w:r>
            <w:r w:rsidR="003C3271">
              <w:rPr>
                <w:rFonts w:ascii="Arial" w:hAnsi="Arial" w:cs="Arial"/>
                <w:sz w:val="22"/>
                <w:szCs w:val="22"/>
              </w:rPr>
              <w:t xml:space="preserve"> </w:t>
            </w:r>
            <w:r w:rsidR="003C3271" w:rsidRPr="003C3271">
              <w:rPr>
                <w:rFonts w:ascii="Arial" w:hAnsi="Arial" w:cs="Arial"/>
                <w:sz w:val="22"/>
                <w:szCs w:val="22"/>
              </w:rPr>
              <w:t>inicial</w:t>
            </w:r>
            <w:r w:rsidRPr="003C3271">
              <w:rPr>
                <w:rFonts w:ascii="Arial" w:hAnsi="Arial" w:cs="Arial"/>
                <w:sz w:val="22"/>
                <w:szCs w:val="22"/>
              </w:rPr>
              <w:t xml:space="preserve">, </w:t>
            </w:r>
            <w:r w:rsidRPr="004951F3">
              <w:rPr>
                <w:rFonts w:ascii="Arial" w:hAnsi="Arial" w:cs="Arial"/>
                <w:sz w:val="22"/>
                <w:szCs w:val="22"/>
              </w:rPr>
              <w:t>conforme NPT 018 e NBR 10898 vigentes.</w:t>
            </w:r>
          </w:p>
        </w:tc>
        <w:tc>
          <w:tcPr>
            <w:tcW w:w="851" w:type="dxa"/>
            <w:tcBorders>
              <w:top w:val="nil"/>
              <w:left w:val="nil"/>
              <w:bottom w:val="single" w:sz="4" w:space="0" w:color="auto"/>
              <w:right w:val="single" w:sz="4" w:space="0" w:color="auto"/>
            </w:tcBorders>
            <w:vAlign w:val="center"/>
            <w:hideMark/>
          </w:tcPr>
          <w:p w14:paraId="2882A2B7"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36A9012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165</w:t>
            </w:r>
          </w:p>
        </w:tc>
        <w:tc>
          <w:tcPr>
            <w:tcW w:w="1559" w:type="dxa"/>
            <w:tcBorders>
              <w:top w:val="nil"/>
              <w:left w:val="nil"/>
              <w:bottom w:val="single" w:sz="4" w:space="0" w:color="auto"/>
              <w:right w:val="single" w:sz="4" w:space="0" w:color="auto"/>
            </w:tcBorders>
            <w:vAlign w:val="center"/>
            <w:hideMark/>
          </w:tcPr>
          <w:p w14:paraId="0C9DF144"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136,93</w:t>
            </w:r>
          </w:p>
        </w:tc>
        <w:tc>
          <w:tcPr>
            <w:tcW w:w="1134" w:type="dxa"/>
            <w:tcBorders>
              <w:top w:val="nil"/>
              <w:left w:val="nil"/>
              <w:bottom w:val="single" w:sz="4" w:space="0" w:color="auto"/>
              <w:right w:val="single" w:sz="4" w:space="0" w:color="auto"/>
            </w:tcBorders>
            <w:vAlign w:val="center"/>
            <w:hideMark/>
          </w:tcPr>
          <w:p w14:paraId="223D64BE"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22.593,45</w:t>
            </w:r>
          </w:p>
        </w:tc>
      </w:tr>
      <w:tr w:rsidR="004951F3" w:rsidRPr="00CD5B61" w14:paraId="6449A9AF" w14:textId="77777777" w:rsidTr="001D295D">
        <w:trPr>
          <w:trHeight w:val="527"/>
        </w:trPr>
        <w:tc>
          <w:tcPr>
            <w:tcW w:w="546" w:type="dxa"/>
            <w:tcBorders>
              <w:top w:val="nil"/>
              <w:left w:val="nil"/>
              <w:bottom w:val="single" w:sz="4" w:space="0" w:color="auto"/>
              <w:right w:val="single" w:sz="4" w:space="0" w:color="auto"/>
            </w:tcBorders>
            <w:vAlign w:val="center"/>
            <w:hideMark/>
          </w:tcPr>
          <w:p w14:paraId="0D7B9001"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26</w:t>
            </w:r>
          </w:p>
        </w:tc>
        <w:tc>
          <w:tcPr>
            <w:tcW w:w="4983" w:type="dxa"/>
            <w:tcBorders>
              <w:top w:val="nil"/>
              <w:left w:val="nil"/>
              <w:bottom w:val="single" w:sz="4" w:space="0" w:color="auto"/>
              <w:right w:val="single" w:sz="4" w:space="0" w:color="auto"/>
            </w:tcBorders>
            <w:vAlign w:val="center"/>
            <w:hideMark/>
          </w:tcPr>
          <w:p w14:paraId="5850221F"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Mangueira de hidrante, DN 40 com L=15 m com conexão tipo </w:t>
            </w:r>
            <w:proofErr w:type="spellStart"/>
            <w:r w:rsidRPr="004951F3">
              <w:rPr>
                <w:rFonts w:ascii="Arial" w:hAnsi="Arial" w:cs="Arial"/>
                <w:sz w:val="22"/>
                <w:szCs w:val="22"/>
              </w:rPr>
              <w:t>Storz</w:t>
            </w:r>
            <w:proofErr w:type="spellEnd"/>
            <w:r w:rsidRPr="004951F3">
              <w:rPr>
                <w:rFonts w:ascii="Arial" w:hAnsi="Arial" w:cs="Arial"/>
                <w:sz w:val="22"/>
                <w:szCs w:val="22"/>
              </w:rPr>
              <w:t>, com ensaio hidrostático em dia, conforme norma NPT 022 do corpo de bombeiros da polícia militar do estado do Paraná.</w:t>
            </w:r>
          </w:p>
        </w:tc>
        <w:tc>
          <w:tcPr>
            <w:tcW w:w="851" w:type="dxa"/>
            <w:tcBorders>
              <w:top w:val="nil"/>
              <w:left w:val="nil"/>
              <w:bottom w:val="single" w:sz="4" w:space="0" w:color="auto"/>
              <w:right w:val="single" w:sz="4" w:space="0" w:color="auto"/>
            </w:tcBorders>
            <w:vAlign w:val="center"/>
            <w:hideMark/>
          </w:tcPr>
          <w:p w14:paraId="1539DC1A"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67BD86F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50</w:t>
            </w:r>
          </w:p>
        </w:tc>
        <w:tc>
          <w:tcPr>
            <w:tcW w:w="1559" w:type="dxa"/>
            <w:tcBorders>
              <w:top w:val="nil"/>
              <w:left w:val="nil"/>
              <w:bottom w:val="single" w:sz="4" w:space="0" w:color="auto"/>
              <w:right w:val="single" w:sz="4" w:space="0" w:color="auto"/>
            </w:tcBorders>
            <w:vAlign w:val="center"/>
            <w:hideMark/>
          </w:tcPr>
          <w:p w14:paraId="6CEEBFE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271,62</w:t>
            </w:r>
          </w:p>
        </w:tc>
        <w:tc>
          <w:tcPr>
            <w:tcW w:w="1134" w:type="dxa"/>
            <w:tcBorders>
              <w:top w:val="nil"/>
              <w:left w:val="nil"/>
              <w:bottom w:val="single" w:sz="4" w:space="0" w:color="auto"/>
              <w:right w:val="single" w:sz="4" w:space="0" w:color="auto"/>
            </w:tcBorders>
            <w:vAlign w:val="center"/>
            <w:hideMark/>
          </w:tcPr>
          <w:p w14:paraId="1E45513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13.581,00</w:t>
            </w:r>
          </w:p>
        </w:tc>
      </w:tr>
      <w:tr w:rsidR="004951F3" w:rsidRPr="00CD5B61" w14:paraId="0F4EDC2E" w14:textId="77777777" w:rsidTr="001D295D">
        <w:trPr>
          <w:trHeight w:val="527"/>
        </w:trPr>
        <w:tc>
          <w:tcPr>
            <w:tcW w:w="546" w:type="dxa"/>
            <w:tcBorders>
              <w:top w:val="nil"/>
              <w:left w:val="nil"/>
              <w:bottom w:val="single" w:sz="4" w:space="0" w:color="auto"/>
              <w:right w:val="single" w:sz="4" w:space="0" w:color="auto"/>
            </w:tcBorders>
            <w:vAlign w:val="center"/>
            <w:hideMark/>
          </w:tcPr>
          <w:p w14:paraId="63210789"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27</w:t>
            </w:r>
          </w:p>
        </w:tc>
        <w:tc>
          <w:tcPr>
            <w:tcW w:w="4983" w:type="dxa"/>
            <w:tcBorders>
              <w:top w:val="nil"/>
              <w:left w:val="nil"/>
              <w:bottom w:val="single" w:sz="4" w:space="0" w:color="auto"/>
              <w:right w:val="single" w:sz="4" w:space="0" w:color="auto"/>
            </w:tcBorders>
            <w:vAlign w:val="center"/>
            <w:hideMark/>
          </w:tcPr>
          <w:p w14:paraId="052B05A3"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 xml:space="preserve">Mangueira de hidrante, DN 65 com L=15 m com conexão tipo </w:t>
            </w:r>
            <w:proofErr w:type="spellStart"/>
            <w:r w:rsidRPr="004951F3">
              <w:rPr>
                <w:rFonts w:ascii="Arial" w:hAnsi="Arial" w:cs="Arial"/>
                <w:sz w:val="22"/>
                <w:szCs w:val="22"/>
              </w:rPr>
              <w:t>Storz</w:t>
            </w:r>
            <w:proofErr w:type="spellEnd"/>
            <w:r w:rsidRPr="004951F3">
              <w:rPr>
                <w:rFonts w:ascii="Arial" w:hAnsi="Arial" w:cs="Arial"/>
                <w:sz w:val="22"/>
                <w:szCs w:val="22"/>
              </w:rPr>
              <w:t>, com ensaio hidrostático em dia, conforme norma NPT 022 do corpo de bombeiros da polícia militar do estado do Paraná.</w:t>
            </w:r>
          </w:p>
        </w:tc>
        <w:tc>
          <w:tcPr>
            <w:tcW w:w="851" w:type="dxa"/>
            <w:tcBorders>
              <w:top w:val="nil"/>
              <w:left w:val="nil"/>
              <w:bottom w:val="single" w:sz="4" w:space="0" w:color="auto"/>
              <w:right w:val="single" w:sz="4" w:space="0" w:color="auto"/>
            </w:tcBorders>
            <w:vAlign w:val="center"/>
            <w:hideMark/>
          </w:tcPr>
          <w:p w14:paraId="5E840326"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0979A6D8"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50</w:t>
            </w:r>
          </w:p>
        </w:tc>
        <w:tc>
          <w:tcPr>
            <w:tcW w:w="1559" w:type="dxa"/>
            <w:tcBorders>
              <w:top w:val="nil"/>
              <w:left w:val="nil"/>
              <w:bottom w:val="single" w:sz="4" w:space="0" w:color="auto"/>
              <w:right w:val="single" w:sz="4" w:space="0" w:color="auto"/>
            </w:tcBorders>
            <w:vAlign w:val="center"/>
            <w:hideMark/>
          </w:tcPr>
          <w:p w14:paraId="1B025E60"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527,91</w:t>
            </w:r>
          </w:p>
        </w:tc>
        <w:tc>
          <w:tcPr>
            <w:tcW w:w="1134" w:type="dxa"/>
            <w:tcBorders>
              <w:top w:val="nil"/>
              <w:left w:val="nil"/>
              <w:bottom w:val="single" w:sz="4" w:space="0" w:color="auto"/>
              <w:right w:val="single" w:sz="4" w:space="0" w:color="auto"/>
            </w:tcBorders>
            <w:vAlign w:val="center"/>
            <w:hideMark/>
          </w:tcPr>
          <w:p w14:paraId="44EB3B4D"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26.395,50</w:t>
            </w:r>
          </w:p>
        </w:tc>
      </w:tr>
      <w:tr w:rsidR="004951F3" w:rsidRPr="00CD5B61" w14:paraId="72099BA9" w14:textId="77777777" w:rsidTr="001D295D">
        <w:trPr>
          <w:trHeight w:val="351"/>
        </w:trPr>
        <w:tc>
          <w:tcPr>
            <w:tcW w:w="546" w:type="dxa"/>
            <w:tcBorders>
              <w:top w:val="nil"/>
              <w:left w:val="nil"/>
              <w:bottom w:val="single" w:sz="4" w:space="0" w:color="auto"/>
              <w:right w:val="single" w:sz="4" w:space="0" w:color="auto"/>
            </w:tcBorders>
            <w:vAlign w:val="center"/>
            <w:hideMark/>
          </w:tcPr>
          <w:p w14:paraId="551D0302"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28</w:t>
            </w:r>
          </w:p>
        </w:tc>
        <w:tc>
          <w:tcPr>
            <w:tcW w:w="4983" w:type="dxa"/>
            <w:tcBorders>
              <w:top w:val="nil"/>
              <w:left w:val="nil"/>
              <w:bottom w:val="single" w:sz="4" w:space="0" w:color="auto"/>
              <w:right w:val="single" w:sz="4" w:space="0" w:color="auto"/>
            </w:tcBorders>
            <w:vAlign w:val="center"/>
            <w:hideMark/>
          </w:tcPr>
          <w:p w14:paraId="550943A2"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Esguicho regulável de hidrante DN 40 atendendo as especificações da NPT 022 do corpo de bombeiros da polícia militar do estado do Paraná.</w:t>
            </w:r>
          </w:p>
        </w:tc>
        <w:tc>
          <w:tcPr>
            <w:tcW w:w="851" w:type="dxa"/>
            <w:tcBorders>
              <w:top w:val="nil"/>
              <w:left w:val="nil"/>
              <w:bottom w:val="single" w:sz="4" w:space="0" w:color="auto"/>
              <w:right w:val="single" w:sz="4" w:space="0" w:color="auto"/>
            </w:tcBorders>
            <w:vAlign w:val="center"/>
            <w:hideMark/>
          </w:tcPr>
          <w:p w14:paraId="5F748ADF"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150071DE"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50</w:t>
            </w:r>
          </w:p>
        </w:tc>
        <w:tc>
          <w:tcPr>
            <w:tcW w:w="1559" w:type="dxa"/>
            <w:tcBorders>
              <w:top w:val="nil"/>
              <w:left w:val="nil"/>
              <w:bottom w:val="single" w:sz="4" w:space="0" w:color="auto"/>
              <w:right w:val="single" w:sz="4" w:space="0" w:color="auto"/>
            </w:tcBorders>
            <w:vAlign w:val="center"/>
            <w:hideMark/>
          </w:tcPr>
          <w:p w14:paraId="4D1D17DB"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104,67</w:t>
            </w:r>
          </w:p>
        </w:tc>
        <w:tc>
          <w:tcPr>
            <w:tcW w:w="1134" w:type="dxa"/>
            <w:tcBorders>
              <w:top w:val="nil"/>
              <w:left w:val="nil"/>
              <w:bottom w:val="single" w:sz="4" w:space="0" w:color="auto"/>
              <w:right w:val="single" w:sz="4" w:space="0" w:color="auto"/>
            </w:tcBorders>
            <w:vAlign w:val="center"/>
            <w:hideMark/>
          </w:tcPr>
          <w:p w14:paraId="70290DF6"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5.233,50</w:t>
            </w:r>
          </w:p>
        </w:tc>
      </w:tr>
      <w:tr w:rsidR="004951F3" w:rsidRPr="00CD5B61" w14:paraId="23437014" w14:textId="77777777" w:rsidTr="001D295D">
        <w:trPr>
          <w:trHeight w:val="351"/>
        </w:trPr>
        <w:tc>
          <w:tcPr>
            <w:tcW w:w="546" w:type="dxa"/>
            <w:tcBorders>
              <w:top w:val="nil"/>
              <w:left w:val="nil"/>
              <w:bottom w:val="single" w:sz="4" w:space="0" w:color="auto"/>
              <w:right w:val="single" w:sz="4" w:space="0" w:color="auto"/>
            </w:tcBorders>
            <w:vAlign w:val="center"/>
            <w:hideMark/>
          </w:tcPr>
          <w:p w14:paraId="4EE3D413"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29</w:t>
            </w:r>
          </w:p>
        </w:tc>
        <w:tc>
          <w:tcPr>
            <w:tcW w:w="4983" w:type="dxa"/>
            <w:tcBorders>
              <w:top w:val="nil"/>
              <w:left w:val="nil"/>
              <w:bottom w:val="single" w:sz="4" w:space="0" w:color="auto"/>
              <w:right w:val="single" w:sz="4" w:space="0" w:color="auto"/>
            </w:tcBorders>
            <w:vAlign w:val="center"/>
            <w:hideMark/>
          </w:tcPr>
          <w:p w14:paraId="154BC907" w14:textId="77777777" w:rsidR="004951F3" w:rsidRPr="004951F3" w:rsidRDefault="004951F3" w:rsidP="001D295D">
            <w:pPr>
              <w:spacing w:line="276" w:lineRule="auto"/>
              <w:jc w:val="both"/>
              <w:rPr>
                <w:rFonts w:ascii="Arial" w:hAnsi="Arial" w:cs="Arial"/>
                <w:sz w:val="22"/>
                <w:szCs w:val="22"/>
              </w:rPr>
            </w:pPr>
            <w:r w:rsidRPr="004951F3">
              <w:rPr>
                <w:rFonts w:ascii="Arial" w:hAnsi="Arial" w:cs="Arial"/>
                <w:sz w:val="22"/>
                <w:szCs w:val="22"/>
              </w:rPr>
              <w:t>Esguicho regulável de hidrante DN 65 atendendo as especificações da NPT 022 do corpo de bombeiros da polícia militar do estado do Paraná.</w:t>
            </w:r>
          </w:p>
        </w:tc>
        <w:tc>
          <w:tcPr>
            <w:tcW w:w="851" w:type="dxa"/>
            <w:tcBorders>
              <w:top w:val="nil"/>
              <w:left w:val="nil"/>
              <w:bottom w:val="single" w:sz="4" w:space="0" w:color="auto"/>
              <w:right w:val="single" w:sz="4" w:space="0" w:color="auto"/>
            </w:tcBorders>
            <w:vAlign w:val="center"/>
            <w:hideMark/>
          </w:tcPr>
          <w:p w14:paraId="176BC924" w14:textId="77777777" w:rsidR="004951F3" w:rsidRPr="004951F3" w:rsidRDefault="004951F3" w:rsidP="00097888">
            <w:pPr>
              <w:spacing w:line="276" w:lineRule="auto"/>
              <w:jc w:val="center"/>
              <w:rPr>
                <w:rFonts w:ascii="Arial" w:hAnsi="Arial" w:cs="Arial"/>
                <w:sz w:val="22"/>
                <w:szCs w:val="22"/>
              </w:rPr>
            </w:pPr>
            <w:r w:rsidRPr="004951F3">
              <w:rPr>
                <w:rFonts w:ascii="Arial" w:hAnsi="Arial" w:cs="Arial"/>
                <w:sz w:val="22"/>
                <w:szCs w:val="22"/>
              </w:rPr>
              <w:t>Unidade</w:t>
            </w:r>
          </w:p>
        </w:tc>
        <w:tc>
          <w:tcPr>
            <w:tcW w:w="850" w:type="dxa"/>
            <w:tcBorders>
              <w:top w:val="nil"/>
              <w:left w:val="nil"/>
              <w:bottom w:val="single" w:sz="4" w:space="0" w:color="auto"/>
              <w:right w:val="single" w:sz="4" w:space="0" w:color="auto"/>
            </w:tcBorders>
            <w:vAlign w:val="center"/>
            <w:hideMark/>
          </w:tcPr>
          <w:p w14:paraId="1D103B61"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50</w:t>
            </w:r>
          </w:p>
        </w:tc>
        <w:tc>
          <w:tcPr>
            <w:tcW w:w="1559" w:type="dxa"/>
            <w:tcBorders>
              <w:top w:val="nil"/>
              <w:left w:val="nil"/>
              <w:bottom w:val="single" w:sz="4" w:space="0" w:color="auto"/>
              <w:right w:val="single" w:sz="4" w:space="0" w:color="auto"/>
            </w:tcBorders>
            <w:vAlign w:val="center"/>
            <w:hideMark/>
          </w:tcPr>
          <w:p w14:paraId="12C2AECA"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155,63</w:t>
            </w:r>
          </w:p>
        </w:tc>
        <w:tc>
          <w:tcPr>
            <w:tcW w:w="1134" w:type="dxa"/>
            <w:tcBorders>
              <w:top w:val="nil"/>
              <w:left w:val="nil"/>
              <w:bottom w:val="single" w:sz="4" w:space="0" w:color="auto"/>
              <w:right w:val="single" w:sz="4" w:space="0" w:color="auto"/>
            </w:tcBorders>
            <w:vAlign w:val="center"/>
            <w:hideMark/>
          </w:tcPr>
          <w:p w14:paraId="51B837D9" w14:textId="77777777" w:rsidR="004951F3" w:rsidRPr="004951F3" w:rsidRDefault="004951F3" w:rsidP="00097888">
            <w:pPr>
              <w:spacing w:line="276" w:lineRule="auto"/>
              <w:jc w:val="right"/>
              <w:rPr>
                <w:rFonts w:ascii="Arial" w:hAnsi="Arial" w:cs="Arial"/>
                <w:sz w:val="22"/>
                <w:szCs w:val="22"/>
              </w:rPr>
            </w:pPr>
            <w:r w:rsidRPr="004951F3">
              <w:rPr>
                <w:rFonts w:ascii="Arial" w:hAnsi="Arial" w:cs="Arial"/>
                <w:sz w:val="22"/>
                <w:szCs w:val="22"/>
              </w:rPr>
              <w:t>7.781,50</w:t>
            </w:r>
          </w:p>
        </w:tc>
      </w:tr>
      <w:tr w:rsidR="004951F3" w:rsidRPr="00CD5B61" w14:paraId="77720895" w14:textId="77777777" w:rsidTr="001D295D">
        <w:trPr>
          <w:trHeight w:val="234"/>
        </w:trPr>
        <w:tc>
          <w:tcPr>
            <w:tcW w:w="9923" w:type="dxa"/>
            <w:gridSpan w:val="6"/>
            <w:tcBorders>
              <w:top w:val="single" w:sz="4" w:space="0" w:color="auto"/>
              <w:left w:val="single" w:sz="4" w:space="0" w:color="auto"/>
              <w:bottom w:val="single" w:sz="4" w:space="0" w:color="auto"/>
              <w:right w:val="single" w:sz="4" w:space="0" w:color="auto"/>
            </w:tcBorders>
            <w:noWrap/>
            <w:vAlign w:val="center"/>
            <w:hideMark/>
          </w:tcPr>
          <w:p w14:paraId="4E7B9E3A" w14:textId="308376ED" w:rsidR="004951F3" w:rsidRPr="004951F3" w:rsidRDefault="004951F3" w:rsidP="001D295D">
            <w:pPr>
              <w:spacing w:line="276" w:lineRule="auto"/>
              <w:jc w:val="both"/>
              <w:rPr>
                <w:rFonts w:ascii="Arial" w:hAnsi="Arial" w:cs="Arial"/>
                <w:sz w:val="22"/>
                <w:szCs w:val="22"/>
              </w:rPr>
            </w:pPr>
            <w:r w:rsidRPr="00CD5B61">
              <w:rPr>
                <w:rFonts w:ascii="Arial" w:hAnsi="Arial" w:cs="Arial"/>
                <w:sz w:val="22"/>
                <w:szCs w:val="22"/>
              </w:rPr>
              <w:t xml:space="preserve">Valor Total </w:t>
            </w:r>
            <w:r w:rsidRPr="004C7144">
              <w:rPr>
                <w:rFonts w:ascii="Arial" w:hAnsi="Arial" w:cs="Arial"/>
                <w:b/>
                <w:bCs/>
                <w:sz w:val="22"/>
                <w:szCs w:val="22"/>
              </w:rPr>
              <w:t>R$ 299.925,25</w:t>
            </w:r>
          </w:p>
        </w:tc>
      </w:tr>
    </w:tbl>
    <w:p w14:paraId="1B39FC0A" w14:textId="77777777" w:rsidR="00CD5B61" w:rsidRPr="00CD5B61" w:rsidRDefault="00566E48" w:rsidP="00097888">
      <w:pPr>
        <w:spacing w:line="276" w:lineRule="auto"/>
        <w:ind w:left="-1134" w:right="283"/>
        <w:jc w:val="both"/>
        <w:rPr>
          <w:rFonts w:ascii="Arial" w:hAnsi="Arial" w:cs="Arial"/>
          <w:b/>
          <w:bCs/>
          <w:sz w:val="22"/>
          <w:szCs w:val="22"/>
        </w:rPr>
      </w:pPr>
      <w:r w:rsidRPr="00CD5B61">
        <w:rPr>
          <w:rFonts w:ascii="Arial" w:hAnsi="Arial" w:cs="Arial"/>
          <w:sz w:val="22"/>
          <w:szCs w:val="22"/>
        </w:rPr>
        <w:br/>
      </w:r>
      <w:r w:rsidR="00950094" w:rsidRPr="00CD5B61">
        <w:rPr>
          <w:rFonts w:ascii="Arial" w:hAnsi="Arial" w:cs="Arial"/>
          <w:b/>
          <w:bCs/>
          <w:sz w:val="22"/>
          <w:szCs w:val="22"/>
        </w:rPr>
        <w:t>8</w:t>
      </w:r>
      <w:r w:rsidRPr="00CD5B61">
        <w:rPr>
          <w:rFonts w:ascii="Arial" w:hAnsi="Arial" w:cs="Arial"/>
          <w:b/>
          <w:bCs/>
          <w:sz w:val="22"/>
          <w:szCs w:val="22"/>
        </w:rPr>
        <w:t xml:space="preserve"> – ESTIMATIVA DO </w:t>
      </w:r>
      <w:r w:rsidR="00950094" w:rsidRPr="00CD5B61">
        <w:rPr>
          <w:rFonts w:ascii="Arial" w:hAnsi="Arial" w:cs="Arial"/>
          <w:b/>
          <w:bCs/>
          <w:sz w:val="22"/>
          <w:szCs w:val="22"/>
        </w:rPr>
        <w:t>VALOR</w:t>
      </w:r>
      <w:r w:rsidRPr="00CD5B61">
        <w:rPr>
          <w:rFonts w:ascii="Arial" w:hAnsi="Arial" w:cs="Arial"/>
          <w:b/>
          <w:bCs/>
          <w:sz w:val="22"/>
          <w:szCs w:val="22"/>
        </w:rPr>
        <w:t xml:space="preserve"> DA CONTRATAÇÃO</w:t>
      </w:r>
    </w:p>
    <w:p w14:paraId="1512C203" w14:textId="77777777" w:rsidR="003C3271" w:rsidRDefault="00CD5B61" w:rsidP="00097888">
      <w:pPr>
        <w:spacing w:line="276" w:lineRule="auto"/>
        <w:ind w:left="-1134" w:right="283"/>
        <w:jc w:val="both"/>
        <w:rPr>
          <w:rFonts w:ascii="Arial" w:hAnsi="Arial" w:cs="Arial"/>
          <w:bCs/>
          <w:color w:val="000000"/>
          <w:sz w:val="22"/>
          <w:szCs w:val="22"/>
        </w:rPr>
      </w:pPr>
      <w:r w:rsidRPr="00CD5B61">
        <w:rPr>
          <w:rFonts w:ascii="Arial" w:hAnsi="Arial" w:cs="Arial"/>
          <w:bCs/>
          <w:color w:val="000000"/>
          <w:sz w:val="22"/>
          <w:szCs w:val="22"/>
        </w:rPr>
        <w:t xml:space="preserve">O valor total máximo fica estimado </w:t>
      </w:r>
      <w:r w:rsidRPr="00CD5B61">
        <w:rPr>
          <w:rFonts w:ascii="Arial" w:hAnsi="Arial" w:cs="Arial"/>
          <w:sz w:val="22"/>
          <w:szCs w:val="22"/>
        </w:rPr>
        <w:t>R$ 299.925,25 (duzentos e noventa e nove mil novecentos e vinte e cinco reais e vinte e cinco centavos)</w:t>
      </w:r>
      <w:r w:rsidRPr="00CD5B61">
        <w:rPr>
          <w:rFonts w:ascii="Arial" w:hAnsi="Arial" w:cs="Arial"/>
          <w:color w:val="000000"/>
          <w:sz w:val="22"/>
          <w:szCs w:val="22"/>
        </w:rPr>
        <w:t xml:space="preserve">, </w:t>
      </w:r>
      <w:r w:rsidRPr="00CD5B61">
        <w:rPr>
          <w:rFonts w:ascii="Arial" w:hAnsi="Arial" w:cs="Arial"/>
          <w:bCs/>
          <w:color w:val="000000"/>
          <w:sz w:val="22"/>
          <w:szCs w:val="22"/>
        </w:rPr>
        <w:t xml:space="preserve">quanto aos preços praticados, usaremos como base, </w:t>
      </w:r>
      <w:r w:rsidR="003C3271" w:rsidRPr="003C3271">
        <w:rPr>
          <w:rFonts w:ascii="Arial" w:hAnsi="Arial" w:cs="Arial"/>
          <w:bCs/>
          <w:color w:val="000000"/>
          <w:sz w:val="22"/>
          <w:szCs w:val="22"/>
        </w:rPr>
        <w:t>pesquisas em contratações similares realizadas por outros órgãos públicos e levantamento realizado com auxílio do Sistema LF Sistemas Ltda., utilizado como ferramenta de apoio para formação da cesta de preços e elaboração do mapa de apuração de valores referenciais.</w:t>
      </w:r>
      <w:r w:rsidR="003C3271">
        <w:rPr>
          <w:rFonts w:ascii="Arial" w:hAnsi="Arial" w:cs="Arial"/>
          <w:bCs/>
          <w:color w:val="000000"/>
          <w:sz w:val="22"/>
          <w:szCs w:val="22"/>
        </w:rPr>
        <w:t xml:space="preserve"> </w:t>
      </w:r>
    </w:p>
    <w:p w14:paraId="0361F4B8" w14:textId="495D22F4" w:rsidR="00CD5B61" w:rsidRPr="00CD5B61" w:rsidRDefault="00CD5B61" w:rsidP="00097888">
      <w:pPr>
        <w:spacing w:line="276" w:lineRule="auto"/>
        <w:ind w:left="-1134" w:right="283"/>
        <w:jc w:val="both"/>
        <w:rPr>
          <w:rFonts w:ascii="Arial" w:hAnsi="Arial" w:cs="Arial"/>
          <w:color w:val="000000"/>
          <w:sz w:val="22"/>
          <w:szCs w:val="22"/>
        </w:rPr>
      </w:pPr>
      <w:r w:rsidRPr="00CD5B61">
        <w:rPr>
          <w:rFonts w:ascii="Arial" w:hAnsi="Arial" w:cs="Arial"/>
          <w:color w:val="000000"/>
          <w:sz w:val="22"/>
          <w:szCs w:val="22"/>
        </w:rPr>
        <w:t>Os valores unitários estimados dos itens constam no tópico 7 deste estudo.</w:t>
      </w:r>
    </w:p>
    <w:p w14:paraId="4D5D51CE" w14:textId="77777777" w:rsidR="00D06C17" w:rsidRPr="00CD5B61" w:rsidRDefault="00D06C17" w:rsidP="00097888">
      <w:pPr>
        <w:spacing w:line="276" w:lineRule="auto"/>
        <w:ind w:right="283"/>
        <w:jc w:val="both"/>
        <w:rPr>
          <w:rFonts w:ascii="Arial" w:hAnsi="Arial" w:cs="Arial"/>
          <w:sz w:val="22"/>
          <w:szCs w:val="22"/>
        </w:rPr>
      </w:pPr>
    </w:p>
    <w:p w14:paraId="41B7ADEF" w14:textId="4684F281" w:rsidR="00E21DD8" w:rsidRDefault="00950094" w:rsidP="00097888">
      <w:pPr>
        <w:spacing w:line="276" w:lineRule="auto"/>
        <w:ind w:left="-1134" w:right="283"/>
        <w:jc w:val="both"/>
        <w:rPr>
          <w:rFonts w:ascii="Arial" w:hAnsi="Arial" w:cs="Arial"/>
          <w:b/>
          <w:bCs/>
          <w:sz w:val="22"/>
          <w:szCs w:val="22"/>
        </w:rPr>
      </w:pPr>
      <w:r w:rsidRPr="00CD5B61">
        <w:rPr>
          <w:rFonts w:ascii="Arial" w:hAnsi="Arial" w:cs="Arial"/>
          <w:b/>
          <w:sz w:val="22"/>
          <w:szCs w:val="22"/>
        </w:rPr>
        <w:t>9</w:t>
      </w:r>
      <w:r w:rsidR="00566E48" w:rsidRPr="00CD5B61">
        <w:rPr>
          <w:rFonts w:ascii="Arial" w:hAnsi="Arial" w:cs="Arial"/>
          <w:b/>
          <w:bCs/>
          <w:sz w:val="22"/>
          <w:szCs w:val="22"/>
        </w:rPr>
        <w:t xml:space="preserve"> – JUSTIFICATIVA PARA PARCELAMENTO</w:t>
      </w:r>
    </w:p>
    <w:p w14:paraId="2A688E8D" w14:textId="39C2C463" w:rsidR="00CD5B61" w:rsidRPr="00CD5B61" w:rsidRDefault="00CD5B61" w:rsidP="00097888">
      <w:pPr>
        <w:spacing w:line="276" w:lineRule="auto"/>
        <w:ind w:left="-1134" w:right="283"/>
        <w:jc w:val="both"/>
        <w:rPr>
          <w:rFonts w:ascii="Arial" w:hAnsi="Arial" w:cs="Arial"/>
          <w:bCs/>
          <w:sz w:val="22"/>
          <w:szCs w:val="22"/>
        </w:rPr>
      </w:pPr>
      <w:r w:rsidRPr="00CD5B61">
        <w:rPr>
          <w:rFonts w:ascii="Arial" w:hAnsi="Arial" w:cs="Arial"/>
          <w:bCs/>
          <w:sz w:val="22"/>
          <w:szCs w:val="22"/>
        </w:rPr>
        <w:t xml:space="preserve">Considerando as características do objeto pretendido, verifica-se que o parcelamento da contratação </w:t>
      </w:r>
      <w:r w:rsidR="006E29C5" w:rsidRPr="00CD5B61">
        <w:rPr>
          <w:rFonts w:ascii="Arial" w:hAnsi="Arial" w:cs="Arial"/>
          <w:bCs/>
          <w:sz w:val="22"/>
          <w:szCs w:val="22"/>
        </w:rPr>
        <w:t>se mostra</w:t>
      </w:r>
      <w:r w:rsidRPr="00CD5B61">
        <w:rPr>
          <w:rFonts w:ascii="Arial" w:hAnsi="Arial" w:cs="Arial"/>
          <w:bCs/>
          <w:sz w:val="22"/>
          <w:szCs w:val="22"/>
        </w:rPr>
        <w:t xml:space="preserve"> técnica e economicamente viável, sendo a solução mais adequada para a Administração Municipal.</w:t>
      </w:r>
    </w:p>
    <w:p w14:paraId="08318D18" w14:textId="77777777" w:rsidR="00CD5B61" w:rsidRPr="00CD5B61" w:rsidRDefault="00CD5B61" w:rsidP="00097888">
      <w:pPr>
        <w:spacing w:line="276" w:lineRule="auto"/>
        <w:ind w:left="-1134" w:right="283"/>
        <w:jc w:val="both"/>
        <w:rPr>
          <w:rFonts w:ascii="Arial" w:hAnsi="Arial" w:cs="Arial"/>
          <w:bCs/>
          <w:sz w:val="22"/>
          <w:szCs w:val="22"/>
        </w:rPr>
      </w:pPr>
      <w:r w:rsidRPr="00CD5B61">
        <w:rPr>
          <w:rFonts w:ascii="Arial" w:hAnsi="Arial" w:cs="Arial"/>
          <w:bCs/>
          <w:sz w:val="22"/>
          <w:szCs w:val="22"/>
        </w:rPr>
        <w:t>Os materiais e equipamentos destinados à segurança e prevenção contra incêndio possuem natureza divisível, podendo ser fornecidos de forma individualizada por item, sem prejuízo ao conjunto da solução ou à funcionalidade pretendida pela Administração.</w:t>
      </w:r>
    </w:p>
    <w:p w14:paraId="6FFE8B56" w14:textId="77777777" w:rsidR="00CD5B61" w:rsidRPr="00CD5B61" w:rsidRDefault="00CD5B61" w:rsidP="00097888">
      <w:pPr>
        <w:spacing w:line="276" w:lineRule="auto"/>
        <w:ind w:left="-1134" w:right="283"/>
        <w:jc w:val="both"/>
        <w:rPr>
          <w:rFonts w:ascii="Arial" w:hAnsi="Arial" w:cs="Arial"/>
          <w:bCs/>
          <w:sz w:val="22"/>
          <w:szCs w:val="22"/>
        </w:rPr>
      </w:pPr>
      <w:r w:rsidRPr="00CD5B61">
        <w:rPr>
          <w:rFonts w:ascii="Arial" w:hAnsi="Arial" w:cs="Arial"/>
          <w:bCs/>
          <w:sz w:val="22"/>
          <w:szCs w:val="22"/>
        </w:rPr>
        <w:t>O parcelamento por itens busca ampliar a competitividade do certame, possibilitando a participação de maior número de fornecedores especializados nos diversos segmentos relacionados ao objeto, tais como:</w:t>
      </w:r>
    </w:p>
    <w:p w14:paraId="1334563C" w14:textId="77777777" w:rsidR="00CD5B61" w:rsidRPr="00CD5B61" w:rsidRDefault="00CD5B61" w:rsidP="00097888">
      <w:pPr>
        <w:numPr>
          <w:ilvl w:val="0"/>
          <w:numId w:val="32"/>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sinalização fotoluminescente; </w:t>
      </w:r>
    </w:p>
    <w:p w14:paraId="59DCF62A" w14:textId="77777777" w:rsidR="00CD5B61" w:rsidRPr="00CD5B61" w:rsidRDefault="00CD5B61" w:rsidP="00097888">
      <w:pPr>
        <w:numPr>
          <w:ilvl w:val="0"/>
          <w:numId w:val="32"/>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extintores de incêndio; </w:t>
      </w:r>
    </w:p>
    <w:p w14:paraId="0CDC9635" w14:textId="77777777" w:rsidR="00CD5B61" w:rsidRPr="00CD5B61" w:rsidRDefault="00CD5B61" w:rsidP="00097888">
      <w:pPr>
        <w:numPr>
          <w:ilvl w:val="0"/>
          <w:numId w:val="32"/>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luminárias de emergência; </w:t>
      </w:r>
    </w:p>
    <w:p w14:paraId="057B26C8" w14:textId="77777777" w:rsidR="00CD5B61" w:rsidRPr="00CD5B61" w:rsidRDefault="00CD5B61" w:rsidP="00097888">
      <w:pPr>
        <w:numPr>
          <w:ilvl w:val="0"/>
          <w:numId w:val="32"/>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mangueiras de hidrante; </w:t>
      </w:r>
    </w:p>
    <w:p w14:paraId="608B6A9F" w14:textId="77777777" w:rsidR="00CD5B61" w:rsidRPr="00CD5B61" w:rsidRDefault="00CD5B61" w:rsidP="00097888">
      <w:pPr>
        <w:numPr>
          <w:ilvl w:val="0"/>
          <w:numId w:val="32"/>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e demais materiais correlatos de prevenção contra incêndio. </w:t>
      </w:r>
    </w:p>
    <w:p w14:paraId="5F8636CB" w14:textId="77777777" w:rsidR="00CD5B61" w:rsidRPr="00CD5B61" w:rsidRDefault="00CD5B61" w:rsidP="00097888">
      <w:pPr>
        <w:tabs>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A adoção do parcelamento também contribui para:</w:t>
      </w:r>
    </w:p>
    <w:p w14:paraId="3AF0EC34" w14:textId="77777777" w:rsidR="00CD5B61" w:rsidRPr="00CD5B61" w:rsidRDefault="00CD5B61" w:rsidP="00097888">
      <w:pPr>
        <w:numPr>
          <w:ilvl w:val="0"/>
          <w:numId w:val="33"/>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obtenção de propostas mais vantajosas; </w:t>
      </w:r>
    </w:p>
    <w:p w14:paraId="47A2544B" w14:textId="77777777" w:rsidR="00CD5B61" w:rsidRPr="00CD5B61" w:rsidRDefault="00CD5B61" w:rsidP="00097888">
      <w:pPr>
        <w:numPr>
          <w:ilvl w:val="0"/>
          <w:numId w:val="33"/>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ampliação da disputa entre fornecedores; </w:t>
      </w:r>
    </w:p>
    <w:p w14:paraId="39888D13" w14:textId="77777777" w:rsidR="00CD5B61" w:rsidRPr="00CD5B61" w:rsidRDefault="00CD5B61" w:rsidP="00097888">
      <w:pPr>
        <w:numPr>
          <w:ilvl w:val="0"/>
          <w:numId w:val="33"/>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redução dos custos da contratação; </w:t>
      </w:r>
    </w:p>
    <w:p w14:paraId="4698E4D9" w14:textId="77777777" w:rsidR="00CD5B61" w:rsidRPr="00CD5B61" w:rsidRDefault="00CD5B61" w:rsidP="00097888">
      <w:pPr>
        <w:numPr>
          <w:ilvl w:val="0"/>
          <w:numId w:val="33"/>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maior economicidade na aplicação dos recursos públicos; </w:t>
      </w:r>
    </w:p>
    <w:p w14:paraId="72903597" w14:textId="77777777" w:rsidR="00CD5B61" w:rsidRPr="00CD5B61" w:rsidRDefault="00CD5B61" w:rsidP="00097888">
      <w:pPr>
        <w:numPr>
          <w:ilvl w:val="0"/>
          <w:numId w:val="33"/>
        </w:numPr>
        <w:tabs>
          <w:tab w:val="clear" w:pos="720"/>
          <w:tab w:val="num" w:pos="-993"/>
        </w:tabs>
        <w:spacing w:line="276" w:lineRule="auto"/>
        <w:ind w:left="-1134" w:right="283" w:hanging="11"/>
        <w:jc w:val="both"/>
        <w:rPr>
          <w:rFonts w:ascii="Arial" w:hAnsi="Arial" w:cs="Arial"/>
          <w:bCs/>
          <w:sz w:val="22"/>
          <w:szCs w:val="22"/>
        </w:rPr>
      </w:pPr>
      <w:r w:rsidRPr="00CD5B61">
        <w:rPr>
          <w:rFonts w:ascii="Arial" w:hAnsi="Arial" w:cs="Arial"/>
          <w:bCs/>
          <w:sz w:val="22"/>
          <w:szCs w:val="22"/>
        </w:rPr>
        <w:t xml:space="preserve">e melhor aproveitamento das condições ofertadas pelo mercado. </w:t>
      </w:r>
    </w:p>
    <w:p w14:paraId="2164DD1D" w14:textId="77777777" w:rsidR="00CD5B61" w:rsidRPr="00CD5B61" w:rsidRDefault="00CD5B61" w:rsidP="00097888">
      <w:pPr>
        <w:spacing w:line="276" w:lineRule="auto"/>
        <w:ind w:left="-1134" w:right="283"/>
        <w:jc w:val="both"/>
        <w:rPr>
          <w:rFonts w:ascii="Arial" w:hAnsi="Arial" w:cs="Arial"/>
          <w:bCs/>
          <w:sz w:val="22"/>
          <w:szCs w:val="22"/>
        </w:rPr>
      </w:pPr>
      <w:r w:rsidRPr="00CD5B61">
        <w:rPr>
          <w:rFonts w:ascii="Arial" w:hAnsi="Arial" w:cs="Arial"/>
          <w:bCs/>
          <w:sz w:val="22"/>
          <w:szCs w:val="22"/>
        </w:rPr>
        <w:t>Além disso, considerando a diversidade dos materiais e equipamentos envolvidos, a contratação por itens permite maior flexibilidade no gerenciamento das futuras aquisições realizadas pela Administração Municipal por meio do Sistema de Registro de Preços – SRP.</w:t>
      </w:r>
    </w:p>
    <w:p w14:paraId="25EF5B3C" w14:textId="55EE6403" w:rsidR="00CD5B61" w:rsidRPr="007C5571" w:rsidRDefault="00CD5B61" w:rsidP="00097888">
      <w:pPr>
        <w:spacing w:line="276" w:lineRule="auto"/>
        <w:ind w:left="-1134" w:right="283"/>
        <w:jc w:val="both"/>
        <w:rPr>
          <w:rFonts w:ascii="Arial" w:hAnsi="Arial" w:cs="Arial"/>
          <w:bCs/>
          <w:sz w:val="22"/>
          <w:szCs w:val="22"/>
        </w:rPr>
      </w:pPr>
      <w:r w:rsidRPr="00CD5B61">
        <w:rPr>
          <w:rFonts w:ascii="Arial" w:hAnsi="Arial" w:cs="Arial"/>
          <w:bCs/>
          <w:sz w:val="22"/>
          <w:szCs w:val="22"/>
        </w:rPr>
        <w:t>Não foi identificada perda de economia de escala capaz de justificar eventual agrupamento integral do objeto</w:t>
      </w:r>
      <w:r w:rsidR="00F23399">
        <w:rPr>
          <w:rFonts w:ascii="Arial" w:hAnsi="Arial" w:cs="Arial"/>
          <w:bCs/>
          <w:sz w:val="22"/>
          <w:szCs w:val="22"/>
        </w:rPr>
        <w:t xml:space="preserve"> </w:t>
      </w:r>
      <w:r w:rsidRPr="00CD5B61">
        <w:rPr>
          <w:rFonts w:ascii="Arial" w:hAnsi="Arial" w:cs="Arial"/>
          <w:bCs/>
          <w:sz w:val="22"/>
          <w:szCs w:val="22"/>
        </w:rPr>
        <w:t xml:space="preserve">sendo o parcelamento por itens a solução que melhor atende ao interesse público e aos princípios da competitividade, economicidade e eficiência previstos na Lei nº 14.133/2021. </w:t>
      </w:r>
    </w:p>
    <w:p w14:paraId="6A8BE236" w14:textId="77777777" w:rsidR="00CD5B61" w:rsidRPr="00CD5B61" w:rsidRDefault="00CD5B61" w:rsidP="00097888">
      <w:pPr>
        <w:spacing w:line="276" w:lineRule="auto"/>
        <w:ind w:left="-1134" w:right="283"/>
        <w:jc w:val="both"/>
        <w:rPr>
          <w:rFonts w:ascii="Arial" w:hAnsi="Arial" w:cs="Arial"/>
          <w:b/>
          <w:bCs/>
          <w:sz w:val="22"/>
          <w:szCs w:val="22"/>
        </w:rPr>
      </w:pPr>
    </w:p>
    <w:p w14:paraId="58FD8462" w14:textId="77777777" w:rsidR="007C5571" w:rsidRPr="007C5571" w:rsidRDefault="007C5571" w:rsidP="00097888">
      <w:pPr>
        <w:spacing w:line="276" w:lineRule="auto"/>
        <w:ind w:left="-1134" w:right="283"/>
        <w:jc w:val="both"/>
        <w:rPr>
          <w:rFonts w:ascii="Arial" w:hAnsi="Arial" w:cs="Arial"/>
          <w:b/>
          <w:bCs/>
          <w:sz w:val="22"/>
          <w:szCs w:val="22"/>
        </w:rPr>
      </w:pPr>
      <w:r w:rsidRPr="007C5571">
        <w:rPr>
          <w:rFonts w:ascii="Arial" w:hAnsi="Arial" w:cs="Arial"/>
          <w:b/>
          <w:bCs/>
          <w:sz w:val="22"/>
          <w:szCs w:val="22"/>
        </w:rPr>
        <w:t>10 – CONTRATAÇÕES CORRELATAS E/OU INTERDEPENDENTES</w:t>
      </w:r>
    </w:p>
    <w:p w14:paraId="10CC9293" w14:textId="77777777" w:rsidR="007C5571" w:rsidRPr="007C5571" w:rsidRDefault="007C5571" w:rsidP="00097888">
      <w:pPr>
        <w:spacing w:line="276" w:lineRule="auto"/>
        <w:ind w:left="-1134" w:right="283"/>
        <w:jc w:val="both"/>
        <w:rPr>
          <w:rFonts w:ascii="Arial" w:hAnsi="Arial" w:cs="Arial"/>
          <w:bCs/>
          <w:sz w:val="22"/>
          <w:szCs w:val="22"/>
        </w:rPr>
      </w:pPr>
      <w:r w:rsidRPr="007C5571">
        <w:rPr>
          <w:rFonts w:ascii="Arial" w:hAnsi="Arial" w:cs="Arial"/>
          <w:bCs/>
          <w:sz w:val="22"/>
          <w:szCs w:val="22"/>
        </w:rPr>
        <w:t>A presente contratação possui relação com ações administrativas voltadas à manutenção das condições de segurança, prevenção contra incêndio, adequação e conservação dos prédios públicos municipais.</w:t>
      </w:r>
    </w:p>
    <w:p w14:paraId="131FC541" w14:textId="77777777" w:rsidR="007C5571" w:rsidRPr="007C5571" w:rsidRDefault="007C5571" w:rsidP="00097888">
      <w:pPr>
        <w:spacing w:line="276" w:lineRule="auto"/>
        <w:ind w:left="-1134" w:right="283"/>
        <w:jc w:val="both"/>
        <w:rPr>
          <w:rFonts w:ascii="Arial" w:hAnsi="Arial" w:cs="Arial"/>
          <w:bCs/>
          <w:sz w:val="22"/>
          <w:szCs w:val="22"/>
        </w:rPr>
      </w:pPr>
      <w:r w:rsidRPr="007C5571">
        <w:rPr>
          <w:rFonts w:ascii="Arial" w:hAnsi="Arial" w:cs="Arial"/>
          <w:bCs/>
          <w:sz w:val="22"/>
          <w:szCs w:val="22"/>
        </w:rPr>
        <w:t>A contratação poderá possuir relação com futuras contratações complementares destinadas à instalação, manutenção, recarga, substituição e adequação de equipamentos e sistemas de prevenção e combate a incêndio, conforme necessidade identificada pela Administração Pública e exigências dos órgãos fiscalizadores competentes.</w:t>
      </w:r>
    </w:p>
    <w:p w14:paraId="44DF1CC3" w14:textId="77777777" w:rsidR="007C5571" w:rsidRPr="007C5571" w:rsidRDefault="007C5571" w:rsidP="00097888">
      <w:pPr>
        <w:spacing w:line="276" w:lineRule="auto"/>
        <w:ind w:left="-1134" w:right="283"/>
        <w:jc w:val="both"/>
        <w:rPr>
          <w:rFonts w:ascii="Arial" w:hAnsi="Arial" w:cs="Arial"/>
          <w:bCs/>
          <w:sz w:val="22"/>
          <w:szCs w:val="22"/>
        </w:rPr>
      </w:pPr>
      <w:r w:rsidRPr="007C5571">
        <w:rPr>
          <w:rFonts w:ascii="Arial" w:hAnsi="Arial" w:cs="Arial"/>
          <w:bCs/>
          <w:sz w:val="22"/>
          <w:szCs w:val="22"/>
        </w:rPr>
        <w:t>A presente contratação também possui relação com eventuais adequações necessárias para atendimento das exigências e normas técnicas aplicáveis à segurança das edificações públicas.</w:t>
      </w:r>
    </w:p>
    <w:p w14:paraId="3E5F4FFD" w14:textId="77777777" w:rsidR="007C5571" w:rsidRPr="007C5571" w:rsidRDefault="007C5571" w:rsidP="00097888">
      <w:pPr>
        <w:spacing w:line="276" w:lineRule="auto"/>
        <w:ind w:left="-1134" w:right="283"/>
        <w:jc w:val="both"/>
        <w:rPr>
          <w:rFonts w:ascii="Arial" w:hAnsi="Arial" w:cs="Arial"/>
          <w:bCs/>
          <w:sz w:val="22"/>
          <w:szCs w:val="22"/>
        </w:rPr>
      </w:pPr>
      <w:r w:rsidRPr="007C5571">
        <w:rPr>
          <w:rFonts w:ascii="Arial" w:hAnsi="Arial" w:cs="Arial"/>
          <w:bCs/>
          <w:sz w:val="22"/>
          <w:szCs w:val="22"/>
        </w:rPr>
        <w:t>Entretanto, verifica-se que a futura contratação possui autonomia funcional e operacional, não dependendo diretamente de outra contratação específica para sua execução.</w:t>
      </w:r>
    </w:p>
    <w:p w14:paraId="698C6D02" w14:textId="77777777" w:rsidR="007C5571" w:rsidRPr="007C5571" w:rsidRDefault="007C5571" w:rsidP="00097888">
      <w:pPr>
        <w:spacing w:line="276" w:lineRule="auto"/>
        <w:ind w:left="-1134" w:right="283"/>
        <w:jc w:val="both"/>
        <w:rPr>
          <w:rFonts w:ascii="Arial" w:hAnsi="Arial" w:cs="Arial"/>
          <w:bCs/>
          <w:sz w:val="22"/>
          <w:szCs w:val="22"/>
        </w:rPr>
      </w:pPr>
      <w:r w:rsidRPr="007C5571">
        <w:rPr>
          <w:rFonts w:ascii="Arial" w:hAnsi="Arial" w:cs="Arial"/>
          <w:bCs/>
          <w:sz w:val="22"/>
          <w:szCs w:val="22"/>
        </w:rPr>
        <w:t>Não foram identificadas contratações interdependentes que inviabilizem ou condicionem a realização da presente contratação.</w:t>
      </w:r>
    </w:p>
    <w:p w14:paraId="2BCF9090" w14:textId="77777777" w:rsidR="00E21DD8" w:rsidRPr="00CD5B61" w:rsidRDefault="00E21DD8" w:rsidP="00097888">
      <w:pPr>
        <w:spacing w:line="276" w:lineRule="auto"/>
        <w:ind w:left="-1134" w:right="283"/>
        <w:jc w:val="both"/>
        <w:rPr>
          <w:rFonts w:ascii="Arial" w:hAnsi="Arial" w:cs="Arial"/>
          <w:sz w:val="22"/>
          <w:szCs w:val="22"/>
        </w:rPr>
      </w:pPr>
    </w:p>
    <w:p w14:paraId="6733A9FB" w14:textId="2EB0EDF7" w:rsidR="00950094" w:rsidRPr="00CD5B61" w:rsidRDefault="00950094" w:rsidP="00097888">
      <w:pPr>
        <w:spacing w:line="276" w:lineRule="auto"/>
        <w:ind w:left="-1134" w:right="283"/>
        <w:jc w:val="both"/>
        <w:rPr>
          <w:rFonts w:ascii="Arial" w:hAnsi="Arial" w:cs="Arial"/>
          <w:b/>
          <w:sz w:val="22"/>
          <w:szCs w:val="22"/>
        </w:rPr>
      </w:pPr>
      <w:r w:rsidRPr="00CD5B61">
        <w:rPr>
          <w:rFonts w:ascii="Arial" w:hAnsi="Arial" w:cs="Arial"/>
          <w:b/>
          <w:sz w:val="22"/>
          <w:szCs w:val="22"/>
        </w:rPr>
        <w:lastRenderedPageBreak/>
        <w:t>11 – ALINHAMENTO ENTRE A CONTRATAÇÃO E O PL</w:t>
      </w:r>
      <w:r w:rsidR="0027457B" w:rsidRPr="00CD5B61">
        <w:rPr>
          <w:rFonts w:ascii="Arial" w:hAnsi="Arial" w:cs="Arial"/>
          <w:b/>
          <w:sz w:val="22"/>
          <w:szCs w:val="22"/>
        </w:rPr>
        <w:t>A</w:t>
      </w:r>
      <w:r w:rsidRPr="00CD5B61">
        <w:rPr>
          <w:rFonts w:ascii="Arial" w:hAnsi="Arial" w:cs="Arial"/>
          <w:b/>
          <w:sz w:val="22"/>
          <w:szCs w:val="22"/>
        </w:rPr>
        <w:t>NEJAMENTO</w:t>
      </w:r>
    </w:p>
    <w:p w14:paraId="01A74991"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A presente contratação encontra-se alinhada às necessidades administrativas do Município de Vera Cruz do Oeste – PR, especialmente quanto à manutenção das condições de segurança e prevenção contra incêndio nos prédios públicos municipais.</w:t>
      </w:r>
    </w:p>
    <w:p w14:paraId="09BDEB4A"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A futura aquisição dos materiais e equipamentos pretendidos busca atender às demandas das diversas Secretarias Municipais, contribuindo para a adequação das edificações públicas às normas técnicas de segurança, preservação do patrimônio público e proteção de servidores, colaboradores e usuários dos serviços públicos.</w:t>
      </w:r>
    </w:p>
    <w:p w14:paraId="55F81E6B"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A contratação possui compatibilidade com as ações de manutenção, conservação e adequação dos imóveis públicos municipais, sendo necessária para assegurar melhores condições de funcionamento e segurança das edificações utilizadas pela Administração.</w:t>
      </w:r>
    </w:p>
    <w:p w14:paraId="61970210" w14:textId="560A5DCC" w:rsidR="00102C66" w:rsidRDefault="00566E48" w:rsidP="00097888">
      <w:pPr>
        <w:spacing w:line="276" w:lineRule="auto"/>
        <w:ind w:left="-1134" w:right="283"/>
        <w:jc w:val="both"/>
        <w:rPr>
          <w:rFonts w:ascii="Arial" w:hAnsi="Arial" w:cs="Arial"/>
          <w:b/>
          <w:bCs/>
          <w:sz w:val="22"/>
          <w:szCs w:val="22"/>
        </w:rPr>
      </w:pPr>
      <w:r w:rsidRPr="00CD5B61">
        <w:rPr>
          <w:rFonts w:ascii="Arial" w:hAnsi="Arial" w:cs="Arial"/>
          <w:sz w:val="22"/>
          <w:szCs w:val="22"/>
        </w:rPr>
        <w:br/>
      </w:r>
      <w:r w:rsidRPr="00CD5B61">
        <w:rPr>
          <w:rFonts w:ascii="Arial" w:hAnsi="Arial" w:cs="Arial"/>
          <w:b/>
          <w:bCs/>
          <w:sz w:val="22"/>
          <w:szCs w:val="22"/>
        </w:rPr>
        <w:t>1</w:t>
      </w:r>
      <w:r w:rsidR="00F835D7" w:rsidRPr="00CD5B61">
        <w:rPr>
          <w:rFonts w:ascii="Arial" w:hAnsi="Arial" w:cs="Arial"/>
          <w:b/>
          <w:bCs/>
          <w:sz w:val="22"/>
          <w:szCs w:val="22"/>
        </w:rPr>
        <w:t xml:space="preserve">2 – </w:t>
      </w:r>
      <w:r w:rsidR="00590E6B" w:rsidRPr="00CD5B61">
        <w:rPr>
          <w:rFonts w:ascii="Arial" w:hAnsi="Arial" w:cs="Arial"/>
          <w:b/>
          <w:bCs/>
          <w:sz w:val="22"/>
          <w:szCs w:val="22"/>
        </w:rPr>
        <w:t>RESULTADOS PRETENDIDOS</w:t>
      </w:r>
    </w:p>
    <w:p w14:paraId="6371559C"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A futura contratação busca proporcionar melhores condições de segurança e prevenção contra incêndio nos prédios públicos municipais, garantindo maior proteção aos servidores, colaboradores, usuários dos serviços públicos e ao patrimônio público municipal.</w:t>
      </w:r>
    </w:p>
    <w:p w14:paraId="0DEE3092"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Com a aquisição dos materiais e equipamentos pretendidos, espera-se assegurar a adequação das edificações públicas às exigências técnicas relacionadas à prevenção e combate inicial a incêndio, contribuindo para redução de riscos em situações emergenciais e melhoria das condições gerais de segurança dos ambientes públicos.</w:t>
      </w:r>
    </w:p>
    <w:p w14:paraId="05C9FDED"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Dentre os principais resultados pretendidos, destacam-se:</w:t>
      </w:r>
    </w:p>
    <w:p w14:paraId="311F1902"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melhoria das condições de segurança das edificações públicas municipais; </w:t>
      </w:r>
    </w:p>
    <w:p w14:paraId="110F2624"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maior proteção da integridade física de servidores, colaboradores e munícipes; </w:t>
      </w:r>
    </w:p>
    <w:p w14:paraId="0D36E057"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redução de riscos de acidentes, danos materiais e situações emergenciais; </w:t>
      </w:r>
    </w:p>
    <w:p w14:paraId="0D4911FF"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melhor identificação de rotas de fuga e equipamentos de emergência; </w:t>
      </w:r>
    </w:p>
    <w:p w14:paraId="47441371"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padronização dos materiais e equipamentos utilizados pela Administração; </w:t>
      </w:r>
    </w:p>
    <w:p w14:paraId="19AAAB8C"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atendimento das necessidades das diversas Secretarias Municipais; </w:t>
      </w:r>
    </w:p>
    <w:p w14:paraId="4383D700" w14:textId="77777777" w:rsidR="00061660" w:rsidRPr="00061660" w:rsidRDefault="00061660" w:rsidP="00097888">
      <w:pPr>
        <w:numPr>
          <w:ilvl w:val="0"/>
          <w:numId w:val="35"/>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e manutenção das condições mínimas de funcionamento e segurança dos prédios públicos. </w:t>
      </w:r>
    </w:p>
    <w:p w14:paraId="33DBFD3B" w14:textId="77777777" w:rsidR="00061660" w:rsidRPr="00061660" w:rsidRDefault="00061660" w:rsidP="00097888">
      <w:pPr>
        <w:tabs>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Quanto à economicidade e eficiência administrativa, a utilização do Sistema de Registro de Preços permitirá aquisições futuras e parceladas conforme demanda da Administração, proporcionando:</w:t>
      </w:r>
    </w:p>
    <w:p w14:paraId="198E9F4C" w14:textId="77777777" w:rsidR="00061660" w:rsidRPr="00061660" w:rsidRDefault="00061660" w:rsidP="00097888">
      <w:pPr>
        <w:numPr>
          <w:ilvl w:val="0"/>
          <w:numId w:val="36"/>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melhor gerenciamento dos quantitativos; </w:t>
      </w:r>
    </w:p>
    <w:p w14:paraId="0F81D871" w14:textId="77777777" w:rsidR="00061660" w:rsidRPr="00061660" w:rsidRDefault="00061660" w:rsidP="00097888">
      <w:pPr>
        <w:numPr>
          <w:ilvl w:val="0"/>
          <w:numId w:val="36"/>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redução de desperdícios; </w:t>
      </w:r>
    </w:p>
    <w:p w14:paraId="03591283" w14:textId="77777777" w:rsidR="00061660" w:rsidRPr="00061660" w:rsidRDefault="00061660" w:rsidP="00097888">
      <w:pPr>
        <w:numPr>
          <w:ilvl w:val="0"/>
          <w:numId w:val="36"/>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maior controle dos estoques; </w:t>
      </w:r>
    </w:p>
    <w:p w14:paraId="0B27EC8E" w14:textId="77777777" w:rsidR="00061660" w:rsidRPr="00061660" w:rsidRDefault="00061660" w:rsidP="00097888">
      <w:pPr>
        <w:numPr>
          <w:ilvl w:val="0"/>
          <w:numId w:val="36"/>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otimização dos recursos públicos; </w:t>
      </w:r>
    </w:p>
    <w:p w14:paraId="15AAC992" w14:textId="77777777" w:rsidR="00061660" w:rsidRPr="00061660" w:rsidRDefault="00061660" w:rsidP="00097888">
      <w:pPr>
        <w:numPr>
          <w:ilvl w:val="0"/>
          <w:numId w:val="36"/>
        </w:numPr>
        <w:tabs>
          <w:tab w:val="clear" w:pos="720"/>
          <w:tab w:val="num" w:pos="-993"/>
        </w:tabs>
        <w:spacing w:line="276" w:lineRule="auto"/>
        <w:ind w:left="-1134" w:right="283" w:hanging="11"/>
        <w:jc w:val="both"/>
        <w:rPr>
          <w:rFonts w:ascii="Arial" w:hAnsi="Arial" w:cs="Arial"/>
          <w:sz w:val="22"/>
          <w:szCs w:val="22"/>
        </w:rPr>
      </w:pPr>
      <w:r w:rsidRPr="00061660">
        <w:rPr>
          <w:rFonts w:ascii="Arial" w:hAnsi="Arial" w:cs="Arial"/>
          <w:sz w:val="22"/>
          <w:szCs w:val="22"/>
        </w:rPr>
        <w:t xml:space="preserve">e diminuição da necessidade de aquisições emergenciais. </w:t>
      </w:r>
    </w:p>
    <w:p w14:paraId="5403B28A"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A contratação também busca ampliar a eficiência no atendimento das demandas administrativas relacionadas à segurança predial, possibilitando que os materiais e equipamentos sejam adquiridos conforme necessidade identificada pela Administração Municipal ao longo da vigência da ata de registro de preços.</w:t>
      </w:r>
    </w:p>
    <w:p w14:paraId="2CE5436E" w14:textId="77777777" w:rsidR="00061660" w:rsidRPr="00061660" w:rsidRDefault="00061660" w:rsidP="00097888">
      <w:pPr>
        <w:spacing w:line="276" w:lineRule="auto"/>
        <w:ind w:left="-1134" w:right="283"/>
        <w:jc w:val="both"/>
        <w:rPr>
          <w:rFonts w:ascii="Arial" w:hAnsi="Arial" w:cs="Arial"/>
          <w:sz w:val="22"/>
          <w:szCs w:val="22"/>
        </w:rPr>
      </w:pPr>
      <w:r w:rsidRPr="00061660">
        <w:rPr>
          <w:rFonts w:ascii="Arial" w:hAnsi="Arial" w:cs="Arial"/>
          <w:sz w:val="22"/>
          <w:szCs w:val="22"/>
        </w:rPr>
        <w:t>Como benefício indireto, espera-se contribuir para preservação e conservação do patrimônio público municipal, bem como para melhoria das condições gerais dos ambientes utilizados pela população e pelos servidores municipais.</w:t>
      </w:r>
    </w:p>
    <w:p w14:paraId="02BC2468" w14:textId="77777777" w:rsidR="00DA5275" w:rsidRPr="00CD5B61" w:rsidRDefault="00DA5275" w:rsidP="00097888">
      <w:pPr>
        <w:spacing w:line="276" w:lineRule="auto"/>
        <w:ind w:right="283"/>
        <w:jc w:val="both"/>
        <w:rPr>
          <w:rFonts w:ascii="Arial" w:hAnsi="Arial" w:cs="Arial"/>
          <w:bCs/>
          <w:sz w:val="22"/>
          <w:szCs w:val="22"/>
        </w:rPr>
      </w:pPr>
    </w:p>
    <w:p w14:paraId="06CD589E" w14:textId="774E1394" w:rsidR="00F835D7" w:rsidRPr="00CD5B61" w:rsidRDefault="00F835D7"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 xml:space="preserve">13 – PROVIDENCIAS A SEREM ADOTADAS </w:t>
      </w:r>
    </w:p>
    <w:p w14:paraId="0951FEDE" w14:textId="77777777" w:rsidR="00745C68" w:rsidRPr="00CD5B61" w:rsidRDefault="00745C68" w:rsidP="00097888">
      <w:pPr>
        <w:spacing w:line="276" w:lineRule="auto"/>
        <w:ind w:left="-1134" w:right="283"/>
        <w:jc w:val="both"/>
        <w:rPr>
          <w:rFonts w:ascii="Arial" w:hAnsi="Arial" w:cs="Arial"/>
          <w:b/>
          <w:bCs/>
          <w:sz w:val="22"/>
          <w:szCs w:val="22"/>
        </w:rPr>
      </w:pPr>
    </w:p>
    <w:p w14:paraId="77970120" w14:textId="77777777" w:rsidR="00EB3A84" w:rsidRP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Para viabilizar a futura contratação e adequada execução da ata de registro de preços, a Administração Pública deverá adotar previamente as providências administrativas necessárias ao atendimento da demanda.</w:t>
      </w:r>
    </w:p>
    <w:p w14:paraId="7713187D" w14:textId="77777777" w:rsidR="00EB3A84" w:rsidRP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Dentre as principais providências, destacam-se:</w:t>
      </w:r>
    </w:p>
    <w:p w14:paraId="45E90746" w14:textId="77777777" w:rsid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 elaboração do Termo de Referência;</w:t>
      </w:r>
    </w:p>
    <w:p w14:paraId="5514E7FE" w14:textId="4A6D3E84" w:rsid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 realização da pesquisa de preços;</w:t>
      </w:r>
    </w:p>
    <w:p w14:paraId="6A0E32BE" w14:textId="2F511810" w:rsid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 verificação da disponibilidade orçamentária;</w:t>
      </w:r>
    </w:p>
    <w:p w14:paraId="329F7AF5" w14:textId="63EF2FEB" w:rsidR="00EB3A84" w:rsidRP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 designação de servidor responsável pelo acompanhamento e fiscalização da futura contratação;</w:t>
      </w:r>
      <w:r w:rsidRPr="00EB3A84">
        <w:rPr>
          <w:rFonts w:ascii="Arial" w:hAnsi="Arial" w:cs="Arial"/>
          <w:bCs/>
          <w:sz w:val="22"/>
          <w:szCs w:val="22"/>
        </w:rPr>
        <w:br/>
        <w:t>• e organização dos locais destinados ao recebimento e armazenamento dos materiais e equipamentos.</w:t>
      </w:r>
    </w:p>
    <w:p w14:paraId="2B3CD31C" w14:textId="77777777" w:rsidR="00EB3A84" w:rsidRPr="00EB3A84" w:rsidRDefault="00EB3A84" w:rsidP="00097888">
      <w:pPr>
        <w:spacing w:line="276" w:lineRule="auto"/>
        <w:ind w:left="-1134" w:right="283"/>
        <w:jc w:val="both"/>
        <w:rPr>
          <w:rFonts w:ascii="Arial" w:hAnsi="Arial" w:cs="Arial"/>
          <w:bCs/>
          <w:sz w:val="22"/>
          <w:szCs w:val="22"/>
        </w:rPr>
      </w:pPr>
      <w:r w:rsidRPr="00EB3A84">
        <w:rPr>
          <w:rFonts w:ascii="Arial" w:hAnsi="Arial" w:cs="Arial"/>
          <w:bCs/>
          <w:sz w:val="22"/>
          <w:szCs w:val="22"/>
        </w:rPr>
        <w:t>Não foram identificadas necessidades de adequações estruturais complexas, capacitações específicas ou providências extraordinárias capazes de inviabilizar a futura contratação.</w:t>
      </w:r>
    </w:p>
    <w:p w14:paraId="3947E1E8" w14:textId="77777777" w:rsidR="00102C66" w:rsidRPr="00CD5B61" w:rsidRDefault="00102C66" w:rsidP="00097888">
      <w:pPr>
        <w:spacing w:line="276" w:lineRule="auto"/>
        <w:ind w:left="-1134" w:right="283"/>
        <w:jc w:val="both"/>
        <w:rPr>
          <w:rFonts w:ascii="Arial" w:hAnsi="Arial" w:cs="Arial"/>
          <w:b/>
          <w:bCs/>
          <w:sz w:val="22"/>
          <w:szCs w:val="22"/>
        </w:rPr>
      </w:pPr>
    </w:p>
    <w:p w14:paraId="13390480" w14:textId="6827D045" w:rsidR="00A26606" w:rsidRDefault="00F835D7"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14 – IMPACTOS AMBIENTAIS</w:t>
      </w:r>
    </w:p>
    <w:p w14:paraId="528CED1A"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A futura contratação poderá gerar impactos ambientais relacionados principalmente ao descarte de materiais substituídos, embalagens, componentes de equipamentos de prevenção contra incêndio e demais resíduos decorrentes da utilização dos materiais e equipamentos adquiridos pela Administração Municipal.</w:t>
      </w:r>
    </w:p>
    <w:p w14:paraId="0370CEFF"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Visando minimizar possíveis impactos ambientais, a Administração buscará adotar medidas voltadas à aquisição de produtos que atendam às normas técnicas e padrões mínimos de qualidade, durabilidade e segurança, contribuindo para maior vida útil dos materiais e redução da necessidade de substituições frequentes.</w:t>
      </w:r>
    </w:p>
    <w:p w14:paraId="19C1CA3B"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Os fornecedores deverão observar as normas ambientais aplicáveis quanto à fabricação, comercialização, transporte e descarte dos materiais e equipamentos fornecidos, especialmente no que se refere:</w:t>
      </w:r>
    </w:p>
    <w:p w14:paraId="3A77F8C0" w14:textId="77777777" w:rsidR="00B03CEE" w:rsidRPr="00B03CEE" w:rsidRDefault="00B03CEE" w:rsidP="00097888">
      <w:pPr>
        <w:numPr>
          <w:ilvl w:val="0"/>
          <w:numId w:val="38"/>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ao descarte ambientalmente adequado de resíduos; </w:t>
      </w:r>
    </w:p>
    <w:p w14:paraId="278EA3E2" w14:textId="77777777" w:rsidR="00B03CEE" w:rsidRPr="00B03CEE" w:rsidRDefault="00B03CEE" w:rsidP="00097888">
      <w:pPr>
        <w:numPr>
          <w:ilvl w:val="0"/>
          <w:numId w:val="38"/>
        </w:numPr>
        <w:tabs>
          <w:tab w:val="clear" w:pos="720"/>
          <w:tab w:val="num" w:pos="-993"/>
        </w:tabs>
        <w:spacing w:line="276" w:lineRule="auto"/>
        <w:ind w:left="-1134" w:right="283" w:hanging="11"/>
        <w:jc w:val="both"/>
        <w:rPr>
          <w:rFonts w:ascii="Arial" w:hAnsi="Arial" w:cs="Arial"/>
          <w:sz w:val="22"/>
          <w:szCs w:val="22"/>
        </w:rPr>
      </w:pPr>
      <w:proofErr w:type="spellStart"/>
      <w:r w:rsidRPr="00B03CEE">
        <w:rPr>
          <w:rFonts w:ascii="Arial" w:hAnsi="Arial" w:cs="Arial"/>
          <w:sz w:val="22"/>
          <w:szCs w:val="22"/>
        </w:rPr>
        <w:t>à</w:t>
      </w:r>
      <w:proofErr w:type="spellEnd"/>
      <w:r w:rsidRPr="00B03CEE">
        <w:rPr>
          <w:rFonts w:ascii="Arial" w:hAnsi="Arial" w:cs="Arial"/>
          <w:sz w:val="22"/>
          <w:szCs w:val="22"/>
        </w:rPr>
        <w:t xml:space="preserve"> destinação correta de embalagens; </w:t>
      </w:r>
    </w:p>
    <w:p w14:paraId="2631EF8B" w14:textId="77777777" w:rsidR="00B03CEE" w:rsidRPr="00B03CEE" w:rsidRDefault="00B03CEE" w:rsidP="00097888">
      <w:pPr>
        <w:numPr>
          <w:ilvl w:val="0"/>
          <w:numId w:val="38"/>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ao atendimento das normas ambientais vigentes; </w:t>
      </w:r>
    </w:p>
    <w:p w14:paraId="64BF6430" w14:textId="77777777" w:rsidR="00B03CEE" w:rsidRPr="00B03CEE" w:rsidRDefault="00B03CEE" w:rsidP="00097888">
      <w:pPr>
        <w:numPr>
          <w:ilvl w:val="0"/>
          <w:numId w:val="38"/>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e à utilização de materiais produzidos em conformidade com a legislação ambiental aplicável. </w:t>
      </w:r>
    </w:p>
    <w:p w14:paraId="1D736439"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A Administração Municipal também buscará realizar o gerenciamento adequado dos resíduos eventualmente gerados pela substituição de materiais e equipamentos antigos ou inservíveis, observando as práticas de descarte ambientalmente adequadas e destinação correta dos resíduos.</w:t>
      </w:r>
    </w:p>
    <w:p w14:paraId="5C249228" w14:textId="62E1B1C7" w:rsidR="00A26606"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Considerando a natureza do objeto, não foram identificados impactos ambientais de grande relevância decorrentes da futura contratação, sendo possível sua mitigação mediante adoção das medidas administrativas e ambientais normalmente aplicáveis ao objeto.</w:t>
      </w:r>
    </w:p>
    <w:p w14:paraId="2B866DC8" w14:textId="77777777" w:rsidR="00F835D7" w:rsidRPr="00CD5B61" w:rsidRDefault="00F835D7" w:rsidP="00097888">
      <w:pPr>
        <w:spacing w:line="276" w:lineRule="auto"/>
        <w:ind w:left="-1134" w:right="283"/>
        <w:jc w:val="both"/>
        <w:rPr>
          <w:rFonts w:ascii="Arial" w:hAnsi="Arial" w:cs="Arial"/>
          <w:b/>
          <w:bCs/>
          <w:sz w:val="22"/>
          <w:szCs w:val="22"/>
        </w:rPr>
      </w:pPr>
    </w:p>
    <w:p w14:paraId="5F2E528B" w14:textId="3F6B242A" w:rsidR="006F3BB5" w:rsidRPr="00CD5B61" w:rsidRDefault="000B3A6D"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15</w:t>
      </w:r>
      <w:r w:rsidR="00566E48" w:rsidRPr="00CD5B61">
        <w:rPr>
          <w:rFonts w:ascii="Arial" w:hAnsi="Arial" w:cs="Arial"/>
          <w:b/>
          <w:bCs/>
          <w:sz w:val="22"/>
          <w:szCs w:val="22"/>
        </w:rPr>
        <w:t xml:space="preserve"> – VIABILIDADE DA CONTRATAÇÃO</w:t>
      </w:r>
    </w:p>
    <w:p w14:paraId="758B1B75" w14:textId="50C791CC"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 xml:space="preserve">Com base nas informações levantadas durante a elaboração do presente Estudo Técnico Preliminar, conclui-se que a futura contratação </w:t>
      </w:r>
      <w:r w:rsidR="00AC1E2A" w:rsidRPr="00B03CEE">
        <w:rPr>
          <w:rFonts w:ascii="Arial" w:hAnsi="Arial" w:cs="Arial"/>
          <w:sz w:val="22"/>
          <w:szCs w:val="22"/>
        </w:rPr>
        <w:t>se mostra</w:t>
      </w:r>
      <w:r w:rsidRPr="00B03CEE">
        <w:rPr>
          <w:rFonts w:ascii="Arial" w:hAnsi="Arial" w:cs="Arial"/>
          <w:sz w:val="22"/>
          <w:szCs w:val="22"/>
        </w:rPr>
        <w:t xml:space="preserve"> viável sob os aspectos técnico, socioeconômico e ambiental, além de adequada ao atendimento das necessidades da Administração Municipal.</w:t>
      </w:r>
    </w:p>
    <w:p w14:paraId="74A95A07"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 xml:space="preserve">A necessidade da contratação encontra-se devidamente caracterizada, considerando a importância da manutenção das condições mínimas de segurança e prevenção contra incêndio nos prédios públicos </w:t>
      </w:r>
      <w:r w:rsidRPr="00B03CEE">
        <w:rPr>
          <w:rFonts w:ascii="Arial" w:hAnsi="Arial" w:cs="Arial"/>
          <w:sz w:val="22"/>
          <w:szCs w:val="22"/>
        </w:rPr>
        <w:lastRenderedPageBreak/>
        <w:t>municipais, visando proteção da integridade física de servidores, colaboradores, usuários dos serviços públicos e preservação do patrimônio público municipal.</w:t>
      </w:r>
    </w:p>
    <w:p w14:paraId="1FEFA892"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A solução proposta apresenta-se tecnicamente adequada, considerando que os materiais e equipamentos pretendidos possuem ampla disponibilidade no mercado, natureza comum e especificações técnicas padronizadas, possibilitando ampla competitividade entre fornecedores aptos ao atendimento da demanda.</w:t>
      </w:r>
    </w:p>
    <w:p w14:paraId="48229D6A"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Sob o aspecto socioeconômico, a contratação demonstra-se vantajosa em razão:</w:t>
      </w:r>
    </w:p>
    <w:p w14:paraId="72FDC412" w14:textId="77777777" w:rsidR="00B03CEE" w:rsidRPr="00B03CEE" w:rsidRDefault="00B03CEE" w:rsidP="00097888">
      <w:pPr>
        <w:numPr>
          <w:ilvl w:val="0"/>
          <w:numId w:val="39"/>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da melhoria das condições de segurança das edificações públicas; </w:t>
      </w:r>
    </w:p>
    <w:p w14:paraId="0C57DB35" w14:textId="77777777" w:rsidR="00B03CEE" w:rsidRPr="00B03CEE" w:rsidRDefault="00B03CEE" w:rsidP="00097888">
      <w:pPr>
        <w:numPr>
          <w:ilvl w:val="0"/>
          <w:numId w:val="39"/>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da redução de riscos relacionados a situações emergenciais; </w:t>
      </w:r>
    </w:p>
    <w:p w14:paraId="21812CB0" w14:textId="77777777" w:rsidR="00B03CEE" w:rsidRPr="00B03CEE" w:rsidRDefault="00B03CEE" w:rsidP="00097888">
      <w:pPr>
        <w:numPr>
          <w:ilvl w:val="0"/>
          <w:numId w:val="39"/>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da preservação do patrimônio público municipal; </w:t>
      </w:r>
    </w:p>
    <w:p w14:paraId="739C2AC2" w14:textId="77777777" w:rsidR="00B03CEE" w:rsidRPr="00B03CEE" w:rsidRDefault="00B03CEE" w:rsidP="00097888">
      <w:pPr>
        <w:numPr>
          <w:ilvl w:val="0"/>
          <w:numId w:val="39"/>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da possibilidade de aquisições conforme demanda da Administração; </w:t>
      </w:r>
    </w:p>
    <w:p w14:paraId="492157FA" w14:textId="77777777" w:rsidR="00B03CEE" w:rsidRPr="00B03CEE" w:rsidRDefault="00B03CEE" w:rsidP="00097888">
      <w:pPr>
        <w:numPr>
          <w:ilvl w:val="0"/>
          <w:numId w:val="39"/>
        </w:numPr>
        <w:tabs>
          <w:tab w:val="clear" w:pos="720"/>
          <w:tab w:val="num" w:pos="-993"/>
        </w:tabs>
        <w:spacing w:line="276" w:lineRule="auto"/>
        <w:ind w:left="-1134" w:right="283" w:hanging="11"/>
        <w:jc w:val="both"/>
        <w:rPr>
          <w:rFonts w:ascii="Arial" w:hAnsi="Arial" w:cs="Arial"/>
          <w:sz w:val="22"/>
          <w:szCs w:val="22"/>
        </w:rPr>
      </w:pPr>
      <w:proofErr w:type="spellStart"/>
      <w:r w:rsidRPr="00B03CEE">
        <w:rPr>
          <w:rFonts w:ascii="Arial" w:hAnsi="Arial" w:cs="Arial"/>
          <w:sz w:val="22"/>
          <w:szCs w:val="22"/>
        </w:rPr>
        <w:t>da</w:t>
      </w:r>
      <w:proofErr w:type="spellEnd"/>
      <w:r w:rsidRPr="00B03CEE">
        <w:rPr>
          <w:rFonts w:ascii="Arial" w:hAnsi="Arial" w:cs="Arial"/>
          <w:sz w:val="22"/>
          <w:szCs w:val="22"/>
        </w:rPr>
        <w:t xml:space="preserve"> economicidade decorrente da utilização do Sistema de Registro de Preços; </w:t>
      </w:r>
    </w:p>
    <w:p w14:paraId="1F38E345" w14:textId="77777777" w:rsidR="00B03CEE" w:rsidRPr="00B03CEE" w:rsidRDefault="00B03CEE" w:rsidP="00097888">
      <w:pPr>
        <w:numPr>
          <w:ilvl w:val="0"/>
          <w:numId w:val="39"/>
        </w:numPr>
        <w:tabs>
          <w:tab w:val="clear" w:pos="720"/>
          <w:tab w:val="num" w:pos="-993"/>
        </w:tabs>
        <w:spacing w:line="276" w:lineRule="auto"/>
        <w:ind w:left="-1134" w:right="283" w:hanging="11"/>
        <w:jc w:val="both"/>
        <w:rPr>
          <w:rFonts w:ascii="Arial" w:hAnsi="Arial" w:cs="Arial"/>
          <w:sz w:val="22"/>
          <w:szCs w:val="22"/>
        </w:rPr>
      </w:pPr>
      <w:r w:rsidRPr="00B03CEE">
        <w:rPr>
          <w:rFonts w:ascii="Arial" w:hAnsi="Arial" w:cs="Arial"/>
          <w:sz w:val="22"/>
          <w:szCs w:val="22"/>
        </w:rPr>
        <w:t xml:space="preserve">e da otimização dos recursos públicos mediante aquisições parceladas conforme necessidade identificada pelas Secretarias Municipais. </w:t>
      </w:r>
    </w:p>
    <w:p w14:paraId="6473928D"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Quanto ao aspecto ambiental, verificou-se que os possíveis impactos decorrentes da contratação possuem baixa relevância e podem ser adequadamente mitigados mediante adoção de práticas corretas de utilização, armazenamento e descarte dos materiais e equipamentos, bem como mediante observância das normas ambientais aplicáveis.</w:t>
      </w:r>
    </w:p>
    <w:p w14:paraId="40CA05D0"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A análise de mercado realizada demonstrou a existência de diversos fornecedores aptos ao atendimento da futura contratação, preservando a competitividade do certame e possibilitando obtenção de propostas vantajosas para a Administração Municipal.</w:t>
      </w:r>
    </w:p>
    <w:p w14:paraId="214DC731" w14:textId="77777777" w:rsidR="00B03CEE" w:rsidRPr="00B03CEE" w:rsidRDefault="00B03CEE" w:rsidP="00097888">
      <w:pPr>
        <w:spacing w:line="276" w:lineRule="auto"/>
        <w:ind w:left="-1134" w:right="283"/>
        <w:jc w:val="both"/>
        <w:rPr>
          <w:rFonts w:ascii="Arial" w:hAnsi="Arial" w:cs="Arial"/>
          <w:sz w:val="22"/>
          <w:szCs w:val="22"/>
        </w:rPr>
      </w:pPr>
      <w:r w:rsidRPr="00B03CEE">
        <w:rPr>
          <w:rFonts w:ascii="Arial" w:hAnsi="Arial" w:cs="Arial"/>
          <w:sz w:val="22"/>
          <w:szCs w:val="22"/>
        </w:rPr>
        <w:t>Dessa forma, conclui-se pela viabilidade da contratação pretendida, recomendando-se o prosseguimento do processo administrativo para elaboração do Termo de Referência e demais atos necessários à realização do procedimento licitatório.</w:t>
      </w:r>
    </w:p>
    <w:p w14:paraId="7F33FE95" w14:textId="766179DB" w:rsidR="00EB7719" w:rsidRPr="00683DD3" w:rsidRDefault="00EB3A84" w:rsidP="00097888">
      <w:pPr>
        <w:spacing w:line="276" w:lineRule="auto"/>
        <w:ind w:right="283"/>
        <w:jc w:val="both"/>
        <w:rPr>
          <w:rFonts w:ascii="Arial" w:hAnsi="Arial" w:cs="Arial"/>
          <w:b/>
          <w:bCs/>
          <w:sz w:val="22"/>
          <w:szCs w:val="22"/>
        </w:rPr>
      </w:pPr>
      <w:r>
        <w:rPr>
          <w:rFonts w:ascii="Arial" w:hAnsi="Arial" w:cs="Arial"/>
          <w:sz w:val="22"/>
          <w:szCs w:val="22"/>
        </w:rPr>
        <w:t>l</w:t>
      </w:r>
    </w:p>
    <w:p w14:paraId="08BAA580" w14:textId="77777777" w:rsidR="00EB7719" w:rsidRPr="00683DD3" w:rsidRDefault="00EB7719" w:rsidP="00097888">
      <w:pPr>
        <w:spacing w:line="276" w:lineRule="auto"/>
        <w:ind w:left="-1134" w:right="283"/>
        <w:jc w:val="both"/>
        <w:rPr>
          <w:rFonts w:ascii="Arial" w:hAnsi="Arial" w:cs="Arial"/>
          <w:b/>
          <w:bCs/>
          <w:sz w:val="22"/>
          <w:szCs w:val="22"/>
        </w:rPr>
      </w:pPr>
      <w:r w:rsidRPr="00683DD3">
        <w:rPr>
          <w:rFonts w:ascii="Arial" w:hAnsi="Arial" w:cs="Arial"/>
          <w:b/>
          <w:bCs/>
          <w:sz w:val="22"/>
          <w:szCs w:val="22"/>
        </w:rPr>
        <w:t>16 – ANEXOS</w:t>
      </w:r>
    </w:p>
    <w:p w14:paraId="7B6BCD47" w14:textId="77777777" w:rsidR="00EB7719" w:rsidRPr="00683DD3" w:rsidRDefault="00EB7719" w:rsidP="00097888">
      <w:pPr>
        <w:spacing w:line="276" w:lineRule="auto"/>
        <w:ind w:left="-1134" w:right="283"/>
        <w:jc w:val="both"/>
        <w:rPr>
          <w:rFonts w:ascii="Arial" w:hAnsi="Arial" w:cs="Arial"/>
          <w:sz w:val="22"/>
          <w:szCs w:val="22"/>
        </w:rPr>
      </w:pPr>
      <w:r w:rsidRPr="00683DD3">
        <w:rPr>
          <w:rFonts w:ascii="Arial" w:hAnsi="Arial" w:cs="Arial"/>
          <w:sz w:val="22"/>
          <w:szCs w:val="22"/>
        </w:rPr>
        <w:t>Mapa de apuração de preços</w:t>
      </w:r>
    </w:p>
    <w:p w14:paraId="71AF1C51" w14:textId="77777777" w:rsidR="00EB7719" w:rsidRPr="00683DD3" w:rsidRDefault="00EB7719" w:rsidP="00097888">
      <w:pPr>
        <w:spacing w:line="276" w:lineRule="auto"/>
        <w:ind w:left="-1134" w:right="283"/>
        <w:jc w:val="both"/>
        <w:rPr>
          <w:rFonts w:ascii="Arial" w:hAnsi="Arial" w:cs="Arial"/>
          <w:b/>
          <w:bCs/>
          <w:sz w:val="22"/>
          <w:szCs w:val="22"/>
        </w:rPr>
      </w:pPr>
      <w:r w:rsidRPr="00683DD3">
        <w:rPr>
          <w:rFonts w:ascii="Arial" w:hAnsi="Arial" w:cs="Arial"/>
          <w:sz w:val="22"/>
          <w:szCs w:val="22"/>
        </w:rPr>
        <w:t>Pesquisas unificadas</w:t>
      </w:r>
    </w:p>
    <w:p w14:paraId="65DE559F" w14:textId="77777777" w:rsidR="00EB7719" w:rsidRPr="00683DD3" w:rsidRDefault="00EB7719" w:rsidP="00097888">
      <w:pPr>
        <w:spacing w:line="276" w:lineRule="auto"/>
        <w:ind w:left="-1134" w:right="283"/>
        <w:jc w:val="both"/>
        <w:rPr>
          <w:rFonts w:ascii="Arial" w:hAnsi="Arial" w:cs="Arial"/>
          <w:b/>
          <w:bCs/>
          <w:sz w:val="22"/>
          <w:szCs w:val="22"/>
        </w:rPr>
      </w:pPr>
    </w:p>
    <w:p w14:paraId="1D879AE4" w14:textId="77777777" w:rsidR="00EB7719" w:rsidRPr="00683DD3" w:rsidRDefault="00EB7719" w:rsidP="00097888">
      <w:pPr>
        <w:spacing w:line="276" w:lineRule="auto"/>
        <w:ind w:left="-1134" w:right="2835"/>
        <w:rPr>
          <w:rFonts w:ascii="Arial" w:hAnsi="Arial" w:cs="Arial"/>
          <w:b/>
          <w:bCs/>
          <w:sz w:val="22"/>
          <w:szCs w:val="22"/>
        </w:rPr>
      </w:pPr>
      <w:r w:rsidRPr="00683DD3">
        <w:rPr>
          <w:rFonts w:ascii="Arial" w:hAnsi="Arial" w:cs="Arial"/>
          <w:b/>
          <w:bCs/>
          <w:sz w:val="22"/>
          <w:szCs w:val="22"/>
        </w:rPr>
        <w:t xml:space="preserve">17 – RESPONSÁVEIS </w:t>
      </w:r>
    </w:p>
    <w:p w14:paraId="764DE668" w14:textId="77777777" w:rsidR="00EB7719" w:rsidRDefault="00EB7719" w:rsidP="00097888">
      <w:pPr>
        <w:spacing w:line="276" w:lineRule="auto"/>
        <w:ind w:left="-1134" w:right="2835"/>
        <w:rPr>
          <w:rFonts w:ascii="Arial" w:hAnsi="Arial" w:cs="Arial"/>
          <w:sz w:val="22"/>
          <w:szCs w:val="22"/>
        </w:rPr>
      </w:pPr>
      <w:r w:rsidRPr="00683DD3">
        <w:rPr>
          <w:rFonts w:ascii="Arial" w:hAnsi="Arial" w:cs="Arial"/>
          <w:b/>
          <w:bCs/>
          <w:sz w:val="22"/>
          <w:szCs w:val="22"/>
        </w:rPr>
        <w:t xml:space="preserve">João Vitor Jaconi Lemos - </w:t>
      </w:r>
      <w:r w:rsidRPr="00683DD3">
        <w:rPr>
          <w:rFonts w:ascii="Arial" w:hAnsi="Arial" w:cs="Arial"/>
          <w:sz w:val="22"/>
          <w:szCs w:val="22"/>
        </w:rPr>
        <w:t>Chefe da Divisão de Licitações.</w:t>
      </w:r>
    </w:p>
    <w:p w14:paraId="56702AD7" w14:textId="03C0C301" w:rsidR="00B43B99" w:rsidRPr="00B43B99" w:rsidRDefault="00B43B99" w:rsidP="00097888">
      <w:pPr>
        <w:spacing w:line="276" w:lineRule="auto"/>
        <w:ind w:left="-1134" w:right="2835"/>
        <w:rPr>
          <w:rFonts w:ascii="Arial" w:hAnsi="Arial" w:cs="Arial"/>
          <w:sz w:val="22"/>
          <w:szCs w:val="22"/>
        </w:rPr>
      </w:pPr>
    </w:p>
    <w:p w14:paraId="4D771EE3" w14:textId="7F301E06" w:rsidR="00561BE4" w:rsidRPr="00CD5B61" w:rsidRDefault="00561BE4" w:rsidP="00097888">
      <w:pPr>
        <w:spacing w:line="276" w:lineRule="auto"/>
        <w:ind w:left="-1134" w:right="283"/>
        <w:jc w:val="both"/>
        <w:rPr>
          <w:rFonts w:ascii="Arial" w:hAnsi="Arial" w:cs="Arial"/>
          <w:b/>
          <w:bCs/>
          <w:sz w:val="22"/>
          <w:szCs w:val="22"/>
        </w:rPr>
      </w:pPr>
      <w:r w:rsidRPr="00CD5B61">
        <w:rPr>
          <w:rFonts w:ascii="Arial" w:hAnsi="Arial" w:cs="Arial"/>
          <w:b/>
          <w:bCs/>
          <w:sz w:val="22"/>
          <w:szCs w:val="22"/>
        </w:rPr>
        <w:t>1</w:t>
      </w:r>
      <w:r w:rsidR="00A24433" w:rsidRPr="00CD5B61">
        <w:rPr>
          <w:rFonts w:ascii="Arial" w:hAnsi="Arial" w:cs="Arial"/>
          <w:b/>
          <w:bCs/>
          <w:sz w:val="22"/>
          <w:szCs w:val="22"/>
        </w:rPr>
        <w:t>8</w:t>
      </w:r>
      <w:r w:rsidRPr="00CD5B61">
        <w:rPr>
          <w:rFonts w:ascii="Arial" w:hAnsi="Arial" w:cs="Arial"/>
          <w:b/>
          <w:bCs/>
          <w:sz w:val="22"/>
          <w:szCs w:val="22"/>
        </w:rPr>
        <w:t xml:space="preserve"> – ASSINATURAS </w:t>
      </w:r>
    </w:p>
    <w:p w14:paraId="146CC66A" w14:textId="77777777" w:rsidR="00AF6C7E" w:rsidRDefault="00AF6C7E" w:rsidP="00097888">
      <w:pPr>
        <w:spacing w:line="276" w:lineRule="auto"/>
        <w:ind w:left="-1134" w:right="283" w:firstLine="850"/>
        <w:jc w:val="right"/>
        <w:rPr>
          <w:rFonts w:ascii="Arial" w:hAnsi="Arial" w:cs="Arial"/>
          <w:sz w:val="22"/>
          <w:szCs w:val="22"/>
        </w:rPr>
      </w:pPr>
    </w:p>
    <w:p w14:paraId="1D34C187" w14:textId="77777777" w:rsidR="00AF6C7E" w:rsidRDefault="00AF6C7E" w:rsidP="00097888">
      <w:pPr>
        <w:spacing w:line="276" w:lineRule="auto"/>
        <w:ind w:left="-1134" w:right="283" w:firstLine="850"/>
        <w:jc w:val="right"/>
        <w:rPr>
          <w:rFonts w:ascii="Arial" w:hAnsi="Arial" w:cs="Arial"/>
          <w:sz w:val="22"/>
          <w:szCs w:val="22"/>
        </w:rPr>
      </w:pPr>
    </w:p>
    <w:p w14:paraId="3BEBC11D" w14:textId="77777777" w:rsidR="00AF6C7E" w:rsidRDefault="00AF6C7E" w:rsidP="00097888">
      <w:pPr>
        <w:spacing w:line="276" w:lineRule="auto"/>
        <w:ind w:left="-1134" w:right="283" w:firstLine="850"/>
        <w:jc w:val="right"/>
        <w:rPr>
          <w:rFonts w:ascii="Arial" w:hAnsi="Arial" w:cs="Arial"/>
          <w:sz w:val="22"/>
          <w:szCs w:val="22"/>
        </w:rPr>
      </w:pPr>
    </w:p>
    <w:p w14:paraId="451722E8" w14:textId="72CF45CD" w:rsidR="00AF6C7E" w:rsidRPr="00CD5B61" w:rsidRDefault="00AF6C7E" w:rsidP="00097888">
      <w:pPr>
        <w:spacing w:line="276" w:lineRule="auto"/>
        <w:ind w:left="-1134" w:right="283" w:firstLine="850"/>
        <w:jc w:val="right"/>
        <w:rPr>
          <w:rFonts w:ascii="Arial" w:hAnsi="Arial" w:cs="Arial"/>
          <w:sz w:val="22"/>
          <w:szCs w:val="22"/>
        </w:rPr>
      </w:pPr>
      <w:r>
        <w:rPr>
          <w:rFonts w:ascii="Arial" w:hAnsi="Arial" w:cs="Arial"/>
          <w:sz w:val="22"/>
          <w:szCs w:val="22"/>
        </w:rPr>
        <w:t>Vera Cruz do Oeste, PR 15 de maio de 2026</w:t>
      </w:r>
    </w:p>
    <w:sectPr w:rsidR="00AF6C7E" w:rsidRPr="00CD5B61" w:rsidSect="002F46C7">
      <w:headerReference w:type="default" r:id="rId8"/>
      <w:pgSz w:w="11907" w:h="16840" w:code="9"/>
      <w:pgMar w:top="2552" w:right="567" w:bottom="1418" w:left="22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AEBA" w14:textId="77777777" w:rsidR="001533E8" w:rsidRDefault="001533E8">
      <w:r>
        <w:separator/>
      </w:r>
    </w:p>
  </w:endnote>
  <w:endnote w:type="continuationSeparator" w:id="0">
    <w:p w14:paraId="0B38F3D9" w14:textId="77777777" w:rsidR="001533E8" w:rsidRDefault="0015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C94E9" w14:textId="77777777" w:rsidR="001533E8" w:rsidRDefault="001533E8">
      <w:r>
        <w:separator/>
      </w:r>
    </w:p>
  </w:footnote>
  <w:footnote w:type="continuationSeparator" w:id="0">
    <w:p w14:paraId="1F44DC1D" w14:textId="77777777" w:rsidR="001533E8" w:rsidRDefault="0015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D68" w14:textId="4EF4BD2D" w:rsidR="002B0448" w:rsidRDefault="00A17134">
    <w:pPr>
      <w:pStyle w:val="Cabealho"/>
    </w:pPr>
    <w:r>
      <w:rPr>
        <w:noProof/>
      </w:rPr>
      <mc:AlternateContent>
        <mc:Choice Requires="wpg">
          <w:drawing>
            <wp:anchor distT="0" distB="0" distL="114300" distR="114300" simplePos="0" relativeHeight="251658240" behindDoc="0" locked="0" layoutInCell="0" allowOverlap="1" wp14:anchorId="50910D26" wp14:editId="1ADDEDB3">
              <wp:simplePos x="0" y="0"/>
              <wp:positionH relativeFrom="column">
                <wp:posOffset>-956310</wp:posOffset>
              </wp:positionH>
              <wp:positionV relativeFrom="paragraph">
                <wp:posOffset>459740</wp:posOffset>
              </wp:positionV>
              <wp:extent cx="6766560" cy="93472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1"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10D26" id="Group 4" o:spid="_x0000_s1026" style="position:absolute;margin-left:-75.3pt;margin-top:36.2pt;width:532.8pt;height:736pt;z-index:251658240"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zT3AIAALEHAAAOAAAAZHJzL2Uyb0RvYy54bWy8VV1v2yAUfZ+0/4B4Xx2nsdNadaquX5rU&#10;bdXa/QCCsY2GgQGJ3f76XbCTOG2lVZ06P1jAhcvh3HPg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2"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v:group>
          </w:pict>
        </mc:Fallback>
      </mc:AlternateContent>
    </w:r>
    <w:r>
      <w:rPr>
        <w:noProof/>
      </w:rPr>
      <mc:AlternateContent>
        <mc:Choice Requires="wps">
          <w:drawing>
            <wp:anchor distT="0" distB="0" distL="114300" distR="114300" simplePos="0" relativeHeight="251660288" behindDoc="0" locked="0" layoutInCell="0" allowOverlap="1" wp14:anchorId="67B25DE4" wp14:editId="5F0699DB">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DAD3A"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25DE4"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712DAD3A" w14:textId="77777777" w:rsidR="002B0448" w:rsidRDefault="002B0448">
                    <w:pPr>
                      <w:pStyle w:val="Corpodetexto"/>
                      <w:rPr>
                        <w:sz w:val="20"/>
                      </w:rPr>
                    </w:pPr>
                    <w:r>
                      <w:rPr>
                        <w:sz w:val="20"/>
                      </w:rPr>
                      <w:t>CNPJ: 78.101.821/0001-01</w:t>
                    </w:r>
                  </w:p>
                </w:txbxContent>
              </v:textbox>
            </v:shape>
          </w:pict>
        </mc:Fallback>
      </mc:AlternateContent>
    </w:r>
    <w:r>
      <w:rPr>
        <w:noProof/>
      </w:rPr>
      <mc:AlternateContent>
        <mc:Choice Requires="wps">
          <w:drawing>
            <wp:anchor distT="0" distB="0" distL="114300" distR="114300" simplePos="0" relativeHeight="251656192" behindDoc="0" locked="0" layoutInCell="0" allowOverlap="1" wp14:anchorId="40C8F408" wp14:editId="5487F830">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14070"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8F408"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51814070"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Pr>
        <w:noProof/>
      </w:rPr>
      <mc:AlternateContent>
        <mc:Choice Requires="wps">
          <w:drawing>
            <wp:anchor distT="0" distB="0" distL="114300" distR="114300" simplePos="0" relativeHeight="251655168" behindDoc="0" locked="0" layoutInCell="0" allowOverlap="1" wp14:anchorId="7846A893" wp14:editId="2F2EE486">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A893"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MG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N1yZcRIrKuoD4Rb4Rprugf0KED/M3ZQDNVcv/r&#10;IFBxZj5b0u5DvoxEQzKWq/WCDLz2VNceYSVBlTxwNh13YRrcg0PddpRp6paFO9K70UmKl6rO5dPc&#10;JIXOMx4H89pOUS8/cfsH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Dn5TBvYBAADRAwAADgAAAAAAAAAAAAAAAAAuAgAAZHJz&#10;L2Uyb0RvYy54bWxQSwECLQAUAAYACAAAACEAlA2MmNsAAAAJAQAADwAAAAAAAAAAAAAAAABQBAAA&#10;ZHJzL2Rvd25yZXYueG1sUEsFBgAAAAAEAAQA8wAAAFgFAAAAAA==&#10;" o:allowincell="f" stroked="f">
              <v:textbo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drawing>
        <wp:anchor distT="0" distB="0" distL="114300" distR="114300" simplePos="0" relativeHeight="251659264" behindDoc="0" locked="0" layoutInCell="0" allowOverlap="1" wp14:anchorId="49BE0F28" wp14:editId="08844115">
          <wp:simplePos x="0" y="0"/>
          <wp:positionH relativeFrom="column">
            <wp:posOffset>-297815</wp:posOffset>
          </wp:positionH>
          <wp:positionV relativeFrom="paragraph">
            <wp:posOffset>43180</wp:posOffset>
          </wp:positionV>
          <wp:extent cx="888365" cy="85788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8365" cy="85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object w:dxaOrig="0" w:dyaOrig="0" w14:anchorId="1B58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7.6pt;margin-top:33.6pt;width:10.5pt;height:27.25pt;z-index:251657216;mso-position-horizontal-relative:text;mso-position-vertical-relative:text" o:allowincell="f">
          <v:imagedata r:id="rId4" o:title=""/>
        </v:shape>
        <o:OLEObject Type="Embed" ProgID="PBrush" ShapeID="_x0000_s1027" DrawAspect="Content" ObjectID="_1844496210" r:id="rId5"/>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7D6"/>
    <w:multiLevelType w:val="multilevel"/>
    <w:tmpl w:val="3D68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D4913"/>
    <w:multiLevelType w:val="hybridMultilevel"/>
    <w:tmpl w:val="E4B4780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 w15:restartNumberingAfterBreak="0">
    <w:nsid w:val="050070EA"/>
    <w:multiLevelType w:val="multilevel"/>
    <w:tmpl w:val="EF1CA978"/>
    <w:lvl w:ilvl="0">
      <w:start w:val="5"/>
      <w:numFmt w:val="decimal"/>
      <w:lvlText w:val="%1-"/>
      <w:lvlJc w:val="left"/>
      <w:pPr>
        <w:ind w:left="2436" w:hanging="567"/>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1019" w:hanging="36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200" w:hanging="366"/>
      </w:pPr>
      <w:rPr>
        <w:rFonts w:hint="default"/>
        <w:lang w:val="pt-PT" w:eastAsia="en-US" w:bidi="ar-SA"/>
      </w:rPr>
    </w:lvl>
    <w:lvl w:ilvl="3">
      <w:numFmt w:val="bullet"/>
      <w:lvlText w:val="•"/>
      <w:lvlJc w:val="left"/>
      <w:pPr>
        <w:ind w:left="2320" w:hanging="366"/>
      </w:pPr>
      <w:rPr>
        <w:rFonts w:hint="default"/>
        <w:lang w:val="pt-PT" w:eastAsia="en-US" w:bidi="ar-SA"/>
      </w:rPr>
    </w:lvl>
    <w:lvl w:ilvl="4">
      <w:numFmt w:val="bullet"/>
      <w:lvlText w:val="•"/>
      <w:lvlJc w:val="left"/>
      <w:pPr>
        <w:ind w:left="2440" w:hanging="366"/>
      </w:pPr>
      <w:rPr>
        <w:rFonts w:hint="default"/>
        <w:lang w:val="pt-PT" w:eastAsia="en-US" w:bidi="ar-SA"/>
      </w:rPr>
    </w:lvl>
    <w:lvl w:ilvl="5">
      <w:numFmt w:val="bullet"/>
      <w:lvlText w:val="•"/>
      <w:lvlJc w:val="left"/>
      <w:pPr>
        <w:ind w:left="3878" w:hanging="366"/>
      </w:pPr>
      <w:rPr>
        <w:rFonts w:hint="default"/>
        <w:lang w:val="pt-PT" w:eastAsia="en-US" w:bidi="ar-SA"/>
      </w:rPr>
    </w:lvl>
    <w:lvl w:ilvl="6">
      <w:numFmt w:val="bullet"/>
      <w:lvlText w:val="•"/>
      <w:lvlJc w:val="left"/>
      <w:pPr>
        <w:ind w:left="5316" w:hanging="366"/>
      </w:pPr>
      <w:rPr>
        <w:rFonts w:hint="default"/>
        <w:lang w:val="pt-PT" w:eastAsia="en-US" w:bidi="ar-SA"/>
      </w:rPr>
    </w:lvl>
    <w:lvl w:ilvl="7">
      <w:numFmt w:val="bullet"/>
      <w:lvlText w:val="•"/>
      <w:lvlJc w:val="left"/>
      <w:pPr>
        <w:ind w:left="6754" w:hanging="366"/>
      </w:pPr>
      <w:rPr>
        <w:rFonts w:hint="default"/>
        <w:lang w:val="pt-PT" w:eastAsia="en-US" w:bidi="ar-SA"/>
      </w:rPr>
    </w:lvl>
    <w:lvl w:ilvl="8">
      <w:numFmt w:val="bullet"/>
      <w:lvlText w:val="•"/>
      <w:lvlJc w:val="left"/>
      <w:pPr>
        <w:ind w:left="8192" w:hanging="366"/>
      </w:pPr>
      <w:rPr>
        <w:rFonts w:hint="default"/>
        <w:lang w:val="pt-PT" w:eastAsia="en-US" w:bidi="ar-SA"/>
      </w:rPr>
    </w:lvl>
  </w:abstractNum>
  <w:abstractNum w:abstractNumId="3" w15:restartNumberingAfterBreak="0">
    <w:nsid w:val="06E771AF"/>
    <w:multiLevelType w:val="multilevel"/>
    <w:tmpl w:val="2B20F6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8C94748"/>
    <w:multiLevelType w:val="multilevel"/>
    <w:tmpl w:val="9A74CB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DE30116"/>
    <w:multiLevelType w:val="multilevel"/>
    <w:tmpl w:val="A17CB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B2AA4"/>
    <w:multiLevelType w:val="multilevel"/>
    <w:tmpl w:val="0FDE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7C363F"/>
    <w:multiLevelType w:val="multilevel"/>
    <w:tmpl w:val="8F76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6403C"/>
    <w:multiLevelType w:val="multilevel"/>
    <w:tmpl w:val="00F4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D76754"/>
    <w:multiLevelType w:val="multilevel"/>
    <w:tmpl w:val="9858FC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8DB11A5"/>
    <w:multiLevelType w:val="multilevel"/>
    <w:tmpl w:val="2026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5F6913"/>
    <w:multiLevelType w:val="multilevel"/>
    <w:tmpl w:val="B686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AF6168"/>
    <w:multiLevelType w:val="multilevel"/>
    <w:tmpl w:val="4C86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1436B2"/>
    <w:multiLevelType w:val="hybridMultilevel"/>
    <w:tmpl w:val="1EA2B6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4" w15:restartNumberingAfterBreak="0">
    <w:nsid w:val="2C683BD0"/>
    <w:multiLevelType w:val="multilevel"/>
    <w:tmpl w:val="B298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045A1B"/>
    <w:multiLevelType w:val="multilevel"/>
    <w:tmpl w:val="0F6C0D4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3667B1E"/>
    <w:multiLevelType w:val="multilevel"/>
    <w:tmpl w:val="091E0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475BC"/>
    <w:multiLevelType w:val="multilevel"/>
    <w:tmpl w:val="09708FF0"/>
    <w:lvl w:ilvl="0">
      <w:start w:val="2"/>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99"/>
      </w:pPr>
      <w:rPr>
        <w:rFonts w:hint="default"/>
        <w:lang w:val="pt-PT" w:eastAsia="en-US" w:bidi="ar-SA"/>
      </w:rPr>
    </w:lvl>
    <w:lvl w:ilvl="3">
      <w:numFmt w:val="bullet"/>
      <w:lvlText w:val="•"/>
      <w:lvlJc w:val="left"/>
      <w:pPr>
        <w:ind w:left="4169" w:hanging="399"/>
      </w:pPr>
      <w:rPr>
        <w:rFonts w:hint="default"/>
        <w:lang w:val="pt-PT" w:eastAsia="en-US" w:bidi="ar-SA"/>
      </w:rPr>
    </w:lvl>
    <w:lvl w:ilvl="4">
      <w:numFmt w:val="bullet"/>
      <w:lvlText w:val="•"/>
      <w:lvlJc w:val="left"/>
      <w:pPr>
        <w:ind w:left="5094" w:hanging="399"/>
      </w:pPr>
      <w:rPr>
        <w:rFonts w:hint="default"/>
        <w:lang w:val="pt-PT" w:eastAsia="en-US" w:bidi="ar-SA"/>
      </w:rPr>
    </w:lvl>
    <w:lvl w:ilvl="5">
      <w:numFmt w:val="bullet"/>
      <w:lvlText w:val="•"/>
      <w:lvlJc w:val="left"/>
      <w:pPr>
        <w:ind w:left="6018" w:hanging="399"/>
      </w:pPr>
      <w:rPr>
        <w:rFonts w:hint="default"/>
        <w:lang w:val="pt-PT" w:eastAsia="en-US" w:bidi="ar-SA"/>
      </w:rPr>
    </w:lvl>
    <w:lvl w:ilvl="6">
      <w:numFmt w:val="bullet"/>
      <w:lvlText w:val="•"/>
      <w:lvlJc w:val="left"/>
      <w:pPr>
        <w:ind w:left="6943" w:hanging="399"/>
      </w:pPr>
      <w:rPr>
        <w:rFonts w:hint="default"/>
        <w:lang w:val="pt-PT" w:eastAsia="en-US" w:bidi="ar-SA"/>
      </w:rPr>
    </w:lvl>
    <w:lvl w:ilvl="7">
      <w:numFmt w:val="bullet"/>
      <w:lvlText w:val="•"/>
      <w:lvlJc w:val="left"/>
      <w:pPr>
        <w:ind w:left="7868" w:hanging="399"/>
      </w:pPr>
      <w:rPr>
        <w:rFonts w:hint="default"/>
        <w:lang w:val="pt-PT" w:eastAsia="en-US" w:bidi="ar-SA"/>
      </w:rPr>
    </w:lvl>
    <w:lvl w:ilvl="8">
      <w:numFmt w:val="bullet"/>
      <w:lvlText w:val="•"/>
      <w:lvlJc w:val="left"/>
      <w:pPr>
        <w:ind w:left="8792" w:hanging="399"/>
      </w:pPr>
      <w:rPr>
        <w:rFonts w:hint="default"/>
        <w:lang w:val="pt-PT" w:eastAsia="en-US" w:bidi="ar-SA"/>
      </w:rPr>
    </w:lvl>
  </w:abstractNum>
  <w:abstractNum w:abstractNumId="18" w15:restartNumberingAfterBreak="0">
    <w:nsid w:val="374A4ED8"/>
    <w:multiLevelType w:val="multilevel"/>
    <w:tmpl w:val="EC9E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B7163F"/>
    <w:multiLevelType w:val="multilevel"/>
    <w:tmpl w:val="2EA8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5E0B02"/>
    <w:multiLevelType w:val="multilevel"/>
    <w:tmpl w:val="0162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6524C6"/>
    <w:multiLevelType w:val="multilevel"/>
    <w:tmpl w:val="18860C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23" w15:restartNumberingAfterBreak="0">
    <w:nsid w:val="421438FB"/>
    <w:multiLevelType w:val="multilevel"/>
    <w:tmpl w:val="469C5F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29474D1"/>
    <w:multiLevelType w:val="multilevel"/>
    <w:tmpl w:val="9008EE88"/>
    <w:lvl w:ilvl="0">
      <w:start w:val="1"/>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3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37"/>
      </w:pPr>
      <w:rPr>
        <w:rFonts w:hint="default"/>
        <w:lang w:val="pt-PT" w:eastAsia="en-US" w:bidi="ar-SA"/>
      </w:rPr>
    </w:lvl>
    <w:lvl w:ilvl="3">
      <w:numFmt w:val="bullet"/>
      <w:lvlText w:val="•"/>
      <w:lvlJc w:val="left"/>
      <w:pPr>
        <w:ind w:left="4169" w:hanging="337"/>
      </w:pPr>
      <w:rPr>
        <w:rFonts w:hint="default"/>
        <w:lang w:val="pt-PT" w:eastAsia="en-US" w:bidi="ar-SA"/>
      </w:rPr>
    </w:lvl>
    <w:lvl w:ilvl="4">
      <w:numFmt w:val="bullet"/>
      <w:lvlText w:val="•"/>
      <w:lvlJc w:val="left"/>
      <w:pPr>
        <w:ind w:left="5094" w:hanging="337"/>
      </w:pPr>
      <w:rPr>
        <w:rFonts w:hint="default"/>
        <w:lang w:val="pt-PT" w:eastAsia="en-US" w:bidi="ar-SA"/>
      </w:rPr>
    </w:lvl>
    <w:lvl w:ilvl="5">
      <w:numFmt w:val="bullet"/>
      <w:lvlText w:val="•"/>
      <w:lvlJc w:val="left"/>
      <w:pPr>
        <w:ind w:left="6018" w:hanging="337"/>
      </w:pPr>
      <w:rPr>
        <w:rFonts w:hint="default"/>
        <w:lang w:val="pt-PT" w:eastAsia="en-US" w:bidi="ar-SA"/>
      </w:rPr>
    </w:lvl>
    <w:lvl w:ilvl="6">
      <w:numFmt w:val="bullet"/>
      <w:lvlText w:val="•"/>
      <w:lvlJc w:val="left"/>
      <w:pPr>
        <w:ind w:left="6943" w:hanging="337"/>
      </w:pPr>
      <w:rPr>
        <w:rFonts w:hint="default"/>
        <w:lang w:val="pt-PT" w:eastAsia="en-US" w:bidi="ar-SA"/>
      </w:rPr>
    </w:lvl>
    <w:lvl w:ilvl="7">
      <w:numFmt w:val="bullet"/>
      <w:lvlText w:val="•"/>
      <w:lvlJc w:val="left"/>
      <w:pPr>
        <w:ind w:left="7868" w:hanging="337"/>
      </w:pPr>
      <w:rPr>
        <w:rFonts w:hint="default"/>
        <w:lang w:val="pt-PT" w:eastAsia="en-US" w:bidi="ar-SA"/>
      </w:rPr>
    </w:lvl>
    <w:lvl w:ilvl="8">
      <w:numFmt w:val="bullet"/>
      <w:lvlText w:val="•"/>
      <w:lvlJc w:val="left"/>
      <w:pPr>
        <w:ind w:left="8792" w:hanging="337"/>
      </w:pPr>
      <w:rPr>
        <w:rFonts w:hint="default"/>
        <w:lang w:val="pt-PT" w:eastAsia="en-US" w:bidi="ar-SA"/>
      </w:rPr>
    </w:lvl>
  </w:abstractNum>
  <w:abstractNum w:abstractNumId="25" w15:restartNumberingAfterBreak="0">
    <w:nsid w:val="42A03448"/>
    <w:multiLevelType w:val="multilevel"/>
    <w:tmpl w:val="DAD6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1A2E23"/>
    <w:multiLevelType w:val="multilevel"/>
    <w:tmpl w:val="4232F7E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5D95DA4"/>
    <w:multiLevelType w:val="multilevel"/>
    <w:tmpl w:val="382A3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99B7DD5"/>
    <w:multiLevelType w:val="multilevel"/>
    <w:tmpl w:val="4F50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5931EA"/>
    <w:multiLevelType w:val="multilevel"/>
    <w:tmpl w:val="20B4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E93D7C"/>
    <w:multiLevelType w:val="multilevel"/>
    <w:tmpl w:val="13A4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A30351"/>
    <w:multiLevelType w:val="hybridMultilevel"/>
    <w:tmpl w:val="D2440290"/>
    <w:lvl w:ilvl="0" w:tplc="93021696">
      <w:start w:val="1"/>
      <w:numFmt w:val="lowerLetter"/>
      <w:lvlText w:val="%1)"/>
      <w:lvlJc w:val="left"/>
      <w:pPr>
        <w:ind w:left="1956" w:hanging="226"/>
      </w:pPr>
      <w:rPr>
        <w:rFonts w:ascii="Times New Roman" w:eastAsia="Times New Roman" w:hAnsi="Times New Roman" w:cs="Times New Roman" w:hint="default"/>
        <w:spacing w:val="-2"/>
        <w:w w:val="100"/>
        <w:sz w:val="22"/>
        <w:szCs w:val="22"/>
        <w:lang w:val="pt-PT" w:eastAsia="en-US" w:bidi="ar-SA"/>
      </w:rPr>
    </w:lvl>
    <w:lvl w:ilvl="1" w:tplc="D0DC2092">
      <w:numFmt w:val="bullet"/>
      <w:lvlText w:val="•"/>
      <w:lvlJc w:val="left"/>
      <w:pPr>
        <w:ind w:left="2870" w:hanging="226"/>
      </w:pPr>
      <w:rPr>
        <w:rFonts w:hint="default"/>
        <w:lang w:val="pt-PT" w:eastAsia="en-US" w:bidi="ar-SA"/>
      </w:rPr>
    </w:lvl>
    <w:lvl w:ilvl="2" w:tplc="F4EEE5D4">
      <w:numFmt w:val="bullet"/>
      <w:lvlText w:val="•"/>
      <w:lvlJc w:val="left"/>
      <w:pPr>
        <w:ind w:left="3781" w:hanging="226"/>
      </w:pPr>
      <w:rPr>
        <w:rFonts w:hint="default"/>
        <w:lang w:val="pt-PT" w:eastAsia="en-US" w:bidi="ar-SA"/>
      </w:rPr>
    </w:lvl>
    <w:lvl w:ilvl="3" w:tplc="7160EC0C">
      <w:numFmt w:val="bullet"/>
      <w:lvlText w:val="•"/>
      <w:lvlJc w:val="left"/>
      <w:pPr>
        <w:ind w:left="4692" w:hanging="226"/>
      </w:pPr>
      <w:rPr>
        <w:rFonts w:hint="default"/>
        <w:lang w:val="pt-PT" w:eastAsia="en-US" w:bidi="ar-SA"/>
      </w:rPr>
    </w:lvl>
    <w:lvl w:ilvl="4" w:tplc="11F42FC8">
      <w:numFmt w:val="bullet"/>
      <w:lvlText w:val="•"/>
      <w:lvlJc w:val="left"/>
      <w:pPr>
        <w:ind w:left="5603" w:hanging="226"/>
      </w:pPr>
      <w:rPr>
        <w:rFonts w:hint="default"/>
        <w:lang w:val="pt-PT" w:eastAsia="en-US" w:bidi="ar-SA"/>
      </w:rPr>
    </w:lvl>
    <w:lvl w:ilvl="5" w:tplc="759A2500">
      <w:numFmt w:val="bullet"/>
      <w:lvlText w:val="•"/>
      <w:lvlJc w:val="left"/>
      <w:pPr>
        <w:ind w:left="6514" w:hanging="226"/>
      </w:pPr>
      <w:rPr>
        <w:rFonts w:hint="default"/>
        <w:lang w:val="pt-PT" w:eastAsia="en-US" w:bidi="ar-SA"/>
      </w:rPr>
    </w:lvl>
    <w:lvl w:ilvl="6" w:tplc="CE2C0D7A">
      <w:numFmt w:val="bullet"/>
      <w:lvlText w:val="•"/>
      <w:lvlJc w:val="left"/>
      <w:pPr>
        <w:ind w:left="7425" w:hanging="226"/>
      </w:pPr>
      <w:rPr>
        <w:rFonts w:hint="default"/>
        <w:lang w:val="pt-PT" w:eastAsia="en-US" w:bidi="ar-SA"/>
      </w:rPr>
    </w:lvl>
    <w:lvl w:ilvl="7" w:tplc="7D92C1F4">
      <w:numFmt w:val="bullet"/>
      <w:lvlText w:val="•"/>
      <w:lvlJc w:val="left"/>
      <w:pPr>
        <w:ind w:left="8336" w:hanging="226"/>
      </w:pPr>
      <w:rPr>
        <w:rFonts w:hint="default"/>
        <w:lang w:val="pt-PT" w:eastAsia="en-US" w:bidi="ar-SA"/>
      </w:rPr>
    </w:lvl>
    <w:lvl w:ilvl="8" w:tplc="5A4C6B44">
      <w:numFmt w:val="bullet"/>
      <w:lvlText w:val="•"/>
      <w:lvlJc w:val="left"/>
      <w:pPr>
        <w:ind w:left="9247" w:hanging="226"/>
      </w:pPr>
      <w:rPr>
        <w:rFonts w:hint="default"/>
        <w:lang w:val="pt-PT" w:eastAsia="en-US" w:bidi="ar-SA"/>
      </w:rPr>
    </w:lvl>
  </w:abstractNum>
  <w:abstractNum w:abstractNumId="32" w15:restartNumberingAfterBreak="0">
    <w:nsid w:val="5F434581"/>
    <w:multiLevelType w:val="multilevel"/>
    <w:tmpl w:val="37CA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6D292F"/>
    <w:multiLevelType w:val="multilevel"/>
    <w:tmpl w:val="5E14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5F1D21"/>
    <w:multiLevelType w:val="multilevel"/>
    <w:tmpl w:val="475E57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381655E"/>
    <w:multiLevelType w:val="multilevel"/>
    <w:tmpl w:val="42E0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2F665F"/>
    <w:multiLevelType w:val="multilevel"/>
    <w:tmpl w:val="39FA7A16"/>
    <w:lvl w:ilvl="0">
      <w:start w:val="1"/>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498" w:hanging="1440"/>
      </w:pPr>
      <w:rPr>
        <w:rFonts w:hint="default"/>
      </w:rPr>
    </w:lvl>
    <w:lvl w:ilvl="8">
      <w:start w:val="1"/>
      <w:numFmt w:val="decimal"/>
      <w:lvlText w:val="%1.%2.%3.%4.%5.%6.%7.%8.%9"/>
      <w:lvlJc w:val="left"/>
      <w:pPr>
        <w:ind w:left="-7272" w:hanging="1800"/>
      </w:pPr>
      <w:rPr>
        <w:rFonts w:hint="default"/>
      </w:rPr>
    </w:lvl>
  </w:abstractNum>
  <w:abstractNum w:abstractNumId="37" w15:restartNumberingAfterBreak="0">
    <w:nsid w:val="79CF5164"/>
    <w:multiLevelType w:val="multilevel"/>
    <w:tmpl w:val="F8186D18"/>
    <w:lvl w:ilvl="0">
      <w:start w:val="1"/>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Zero"/>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8" w15:restartNumberingAfterBreak="0">
    <w:nsid w:val="7D5F0537"/>
    <w:multiLevelType w:val="multilevel"/>
    <w:tmpl w:val="A174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6007631">
    <w:abstractNumId w:val="31"/>
  </w:num>
  <w:num w:numId="2" w16cid:durableId="356086147">
    <w:abstractNumId w:val="22"/>
  </w:num>
  <w:num w:numId="3" w16cid:durableId="1972132298">
    <w:abstractNumId w:val="2"/>
  </w:num>
  <w:num w:numId="4" w16cid:durableId="1969049049">
    <w:abstractNumId w:val="17"/>
  </w:num>
  <w:num w:numId="5" w16cid:durableId="1224172229">
    <w:abstractNumId w:val="24"/>
  </w:num>
  <w:num w:numId="6" w16cid:durableId="1676615964">
    <w:abstractNumId w:val="13"/>
  </w:num>
  <w:num w:numId="7" w16cid:durableId="17023933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4651731">
    <w:abstractNumId w:val="36"/>
  </w:num>
  <w:num w:numId="9" w16cid:durableId="1155494190">
    <w:abstractNumId w:val="19"/>
  </w:num>
  <w:num w:numId="10" w16cid:durableId="946430764">
    <w:abstractNumId w:val="1"/>
  </w:num>
  <w:num w:numId="11" w16cid:durableId="789789279">
    <w:abstractNumId w:val="3"/>
  </w:num>
  <w:num w:numId="12" w16cid:durableId="265039406">
    <w:abstractNumId w:val="15"/>
  </w:num>
  <w:num w:numId="13" w16cid:durableId="278073832">
    <w:abstractNumId w:val="27"/>
  </w:num>
  <w:num w:numId="14" w16cid:durableId="488668916">
    <w:abstractNumId w:val="21"/>
  </w:num>
  <w:num w:numId="15" w16cid:durableId="421683913">
    <w:abstractNumId w:val="26"/>
  </w:num>
  <w:num w:numId="16" w16cid:durableId="1730810091">
    <w:abstractNumId w:val="4"/>
  </w:num>
  <w:num w:numId="17" w16cid:durableId="410589770">
    <w:abstractNumId w:val="23"/>
  </w:num>
  <w:num w:numId="18" w16cid:durableId="1596016915">
    <w:abstractNumId w:val="34"/>
  </w:num>
  <w:num w:numId="19" w16cid:durableId="1479414815">
    <w:abstractNumId w:val="9"/>
  </w:num>
  <w:num w:numId="20" w16cid:durableId="358776234">
    <w:abstractNumId w:val="28"/>
  </w:num>
  <w:num w:numId="21" w16cid:durableId="1872575211">
    <w:abstractNumId w:val="8"/>
  </w:num>
  <w:num w:numId="22" w16cid:durableId="457534229">
    <w:abstractNumId w:val="16"/>
  </w:num>
  <w:num w:numId="23" w16cid:durableId="21638554">
    <w:abstractNumId w:val="30"/>
  </w:num>
  <w:num w:numId="24" w16cid:durableId="1441098720">
    <w:abstractNumId w:val="14"/>
  </w:num>
  <w:num w:numId="25" w16cid:durableId="1452095370">
    <w:abstractNumId w:val="18"/>
  </w:num>
  <w:num w:numId="26" w16cid:durableId="208033187">
    <w:abstractNumId w:val="32"/>
  </w:num>
  <w:num w:numId="27" w16cid:durableId="1760443706">
    <w:abstractNumId w:val="6"/>
  </w:num>
  <w:num w:numId="28" w16cid:durableId="869030726">
    <w:abstractNumId w:val="5"/>
  </w:num>
  <w:num w:numId="29" w16cid:durableId="1708991794">
    <w:abstractNumId w:val="29"/>
  </w:num>
  <w:num w:numId="30" w16cid:durableId="642390886">
    <w:abstractNumId w:val="10"/>
  </w:num>
  <w:num w:numId="31" w16cid:durableId="2108307690">
    <w:abstractNumId w:val="33"/>
  </w:num>
  <w:num w:numId="32" w16cid:durableId="87237615">
    <w:abstractNumId w:val="7"/>
  </w:num>
  <w:num w:numId="33" w16cid:durableId="1698652643">
    <w:abstractNumId w:val="25"/>
  </w:num>
  <w:num w:numId="34" w16cid:durableId="1130132558">
    <w:abstractNumId w:val="12"/>
  </w:num>
  <w:num w:numId="35" w16cid:durableId="337125921">
    <w:abstractNumId w:val="0"/>
  </w:num>
  <w:num w:numId="36" w16cid:durableId="611518490">
    <w:abstractNumId w:val="38"/>
  </w:num>
  <w:num w:numId="37" w16cid:durableId="1846238583">
    <w:abstractNumId w:val="11"/>
  </w:num>
  <w:num w:numId="38" w16cid:durableId="1295939499">
    <w:abstractNumId w:val="20"/>
  </w:num>
  <w:num w:numId="39" w16cid:durableId="1846894315">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737"/>
    <w:rsid w:val="00004848"/>
    <w:rsid w:val="00007ABB"/>
    <w:rsid w:val="00011653"/>
    <w:rsid w:val="00011861"/>
    <w:rsid w:val="00013908"/>
    <w:rsid w:val="00014520"/>
    <w:rsid w:val="00025A4C"/>
    <w:rsid w:val="00027594"/>
    <w:rsid w:val="00032706"/>
    <w:rsid w:val="00032729"/>
    <w:rsid w:val="0003302E"/>
    <w:rsid w:val="00037F68"/>
    <w:rsid w:val="00037FB3"/>
    <w:rsid w:val="000409DD"/>
    <w:rsid w:val="00041B6C"/>
    <w:rsid w:val="00042AC5"/>
    <w:rsid w:val="00042E0E"/>
    <w:rsid w:val="00044E80"/>
    <w:rsid w:val="00045D80"/>
    <w:rsid w:val="00050402"/>
    <w:rsid w:val="00050BBD"/>
    <w:rsid w:val="000517B6"/>
    <w:rsid w:val="000519CE"/>
    <w:rsid w:val="000536B0"/>
    <w:rsid w:val="000573BD"/>
    <w:rsid w:val="00057958"/>
    <w:rsid w:val="000601DD"/>
    <w:rsid w:val="0006113A"/>
    <w:rsid w:val="00061660"/>
    <w:rsid w:val="00067AC9"/>
    <w:rsid w:val="00073F1F"/>
    <w:rsid w:val="00081436"/>
    <w:rsid w:val="00085993"/>
    <w:rsid w:val="000860E8"/>
    <w:rsid w:val="00090894"/>
    <w:rsid w:val="00092133"/>
    <w:rsid w:val="0009318E"/>
    <w:rsid w:val="00093D16"/>
    <w:rsid w:val="000952AD"/>
    <w:rsid w:val="00095825"/>
    <w:rsid w:val="0009691A"/>
    <w:rsid w:val="00097888"/>
    <w:rsid w:val="000A1E82"/>
    <w:rsid w:val="000A430F"/>
    <w:rsid w:val="000A4F94"/>
    <w:rsid w:val="000A5D62"/>
    <w:rsid w:val="000A604E"/>
    <w:rsid w:val="000B1EEA"/>
    <w:rsid w:val="000B255A"/>
    <w:rsid w:val="000B3A6D"/>
    <w:rsid w:val="000B3FB0"/>
    <w:rsid w:val="000B5C70"/>
    <w:rsid w:val="000C07F5"/>
    <w:rsid w:val="000C0CF3"/>
    <w:rsid w:val="000C1337"/>
    <w:rsid w:val="000C2AC1"/>
    <w:rsid w:val="000C4B3D"/>
    <w:rsid w:val="000C7B28"/>
    <w:rsid w:val="000D1599"/>
    <w:rsid w:val="000D2353"/>
    <w:rsid w:val="000D2CBC"/>
    <w:rsid w:val="000D4596"/>
    <w:rsid w:val="000D6367"/>
    <w:rsid w:val="000D6CD4"/>
    <w:rsid w:val="000E0829"/>
    <w:rsid w:val="000E1330"/>
    <w:rsid w:val="000E277B"/>
    <w:rsid w:val="000E35C5"/>
    <w:rsid w:val="000E3A99"/>
    <w:rsid w:val="000E5151"/>
    <w:rsid w:val="000F015E"/>
    <w:rsid w:val="000F07A0"/>
    <w:rsid w:val="000F3AEA"/>
    <w:rsid w:val="000F4549"/>
    <w:rsid w:val="00102C66"/>
    <w:rsid w:val="0010629B"/>
    <w:rsid w:val="00110AF0"/>
    <w:rsid w:val="00110BA5"/>
    <w:rsid w:val="00113380"/>
    <w:rsid w:val="00114BA9"/>
    <w:rsid w:val="001162DE"/>
    <w:rsid w:val="00121AA7"/>
    <w:rsid w:val="0012461A"/>
    <w:rsid w:val="00125D53"/>
    <w:rsid w:val="00125F88"/>
    <w:rsid w:val="001310D9"/>
    <w:rsid w:val="0013446E"/>
    <w:rsid w:val="00134877"/>
    <w:rsid w:val="00135DF6"/>
    <w:rsid w:val="001360B1"/>
    <w:rsid w:val="00137AC9"/>
    <w:rsid w:val="00140F3F"/>
    <w:rsid w:val="00143A1D"/>
    <w:rsid w:val="00143B07"/>
    <w:rsid w:val="0014525B"/>
    <w:rsid w:val="00145BE4"/>
    <w:rsid w:val="0014630C"/>
    <w:rsid w:val="00147D55"/>
    <w:rsid w:val="00150E86"/>
    <w:rsid w:val="00151BAE"/>
    <w:rsid w:val="001533E8"/>
    <w:rsid w:val="00164DBE"/>
    <w:rsid w:val="00166946"/>
    <w:rsid w:val="00166DEC"/>
    <w:rsid w:val="00173D70"/>
    <w:rsid w:val="00185037"/>
    <w:rsid w:val="0019288C"/>
    <w:rsid w:val="001945EF"/>
    <w:rsid w:val="00195B68"/>
    <w:rsid w:val="00197570"/>
    <w:rsid w:val="001A026B"/>
    <w:rsid w:val="001A1757"/>
    <w:rsid w:val="001A1F06"/>
    <w:rsid w:val="001A7C3D"/>
    <w:rsid w:val="001B0E7C"/>
    <w:rsid w:val="001C1E0B"/>
    <w:rsid w:val="001C3588"/>
    <w:rsid w:val="001C7A3C"/>
    <w:rsid w:val="001C7CA8"/>
    <w:rsid w:val="001D295D"/>
    <w:rsid w:val="001D388F"/>
    <w:rsid w:val="001D4F8F"/>
    <w:rsid w:val="001D5432"/>
    <w:rsid w:val="001E1581"/>
    <w:rsid w:val="001E2719"/>
    <w:rsid w:val="001E2D26"/>
    <w:rsid w:val="001E5541"/>
    <w:rsid w:val="001E5FD8"/>
    <w:rsid w:val="001E6ECA"/>
    <w:rsid w:val="001F028C"/>
    <w:rsid w:val="001F24B5"/>
    <w:rsid w:val="001F3E2F"/>
    <w:rsid w:val="0020416C"/>
    <w:rsid w:val="00204BDD"/>
    <w:rsid w:val="0020701B"/>
    <w:rsid w:val="0021080E"/>
    <w:rsid w:val="00212D2F"/>
    <w:rsid w:val="00213386"/>
    <w:rsid w:val="0021781A"/>
    <w:rsid w:val="0022231A"/>
    <w:rsid w:val="0023085F"/>
    <w:rsid w:val="00234141"/>
    <w:rsid w:val="00244A16"/>
    <w:rsid w:val="00244F66"/>
    <w:rsid w:val="0024611F"/>
    <w:rsid w:val="00246D1E"/>
    <w:rsid w:val="00246D57"/>
    <w:rsid w:val="00252256"/>
    <w:rsid w:val="00255D13"/>
    <w:rsid w:val="00261DD7"/>
    <w:rsid w:val="002634B0"/>
    <w:rsid w:val="00265D36"/>
    <w:rsid w:val="00266ABE"/>
    <w:rsid w:val="00266C1C"/>
    <w:rsid w:val="0027457B"/>
    <w:rsid w:val="00274D98"/>
    <w:rsid w:val="00281ABD"/>
    <w:rsid w:val="00283484"/>
    <w:rsid w:val="00283B11"/>
    <w:rsid w:val="002874D3"/>
    <w:rsid w:val="0029095B"/>
    <w:rsid w:val="00291342"/>
    <w:rsid w:val="0029375A"/>
    <w:rsid w:val="002944C5"/>
    <w:rsid w:val="0029496C"/>
    <w:rsid w:val="00294A9A"/>
    <w:rsid w:val="00296A3B"/>
    <w:rsid w:val="00297DE4"/>
    <w:rsid w:val="002A0A47"/>
    <w:rsid w:val="002A2B10"/>
    <w:rsid w:val="002A6C7D"/>
    <w:rsid w:val="002B0448"/>
    <w:rsid w:val="002B1973"/>
    <w:rsid w:val="002B1A83"/>
    <w:rsid w:val="002B3B9C"/>
    <w:rsid w:val="002B5D00"/>
    <w:rsid w:val="002B6772"/>
    <w:rsid w:val="002B7CBA"/>
    <w:rsid w:val="002C06D9"/>
    <w:rsid w:val="002C10E8"/>
    <w:rsid w:val="002C7284"/>
    <w:rsid w:val="002C7349"/>
    <w:rsid w:val="002D13D5"/>
    <w:rsid w:val="002D2631"/>
    <w:rsid w:val="002D739C"/>
    <w:rsid w:val="002E1120"/>
    <w:rsid w:val="002E2BFC"/>
    <w:rsid w:val="002E3C0C"/>
    <w:rsid w:val="002E4040"/>
    <w:rsid w:val="002E5681"/>
    <w:rsid w:val="002F0748"/>
    <w:rsid w:val="002F45B1"/>
    <w:rsid w:val="002F46C7"/>
    <w:rsid w:val="002F528B"/>
    <w:rsid w:val="002F5DCD"/>
    <w:rsid w:val="002F6CDB"/>
    <w:rsid w:val="002F703F"/>
    <w:rsid w:val="00301EC3"/>
    <w:rsid w:val="00303F75"/>
    <w:rsid w:val="00304763"/>
    <w:rsid w:val="00307B01"/>
    <w:rsid w:val="00313819"/>
    <w:rsid w:val="0031382D"/>
    <w:rsid w:val="0032006B"/>
    <w:rsid w:val="00320EDC"/>
    <w:rsid w:val="003220A8"/>
    <w:rsid w:val="00325845"/>
    <w:rsid w:val="00325FC3"/>
    <w:rsid w:val="00326C1B"/>
    <w:rsid w:val="003342E4"/>
    <w:rsid w:val="00334C52"/>
    <w:rsid w:val="003360B2"/>
    <w:rsid w:val="0034294D"/>
    <w:rsid w:val="00347224"/>
    <w:rsid w:val="003476B7"/>
    <w:rsid w:val="00350CDF"/>
    <w:rsid w:val="003534E8"/>
    <w:rsid w:val="00353EB9"/>
    <w:rsid w:val="0035463A"/>
    <w:rsid w:val="003569C9"/>
    <w:rsid w:val="003571B7"/>
    <w:rsid w:val="00360A97"/>
    <w:rsid w:val="00360BAA"/>
    <w:rsid w:val="00364B1A"/>
    <w:rsid w:val="003655B3"/>
    <w:rsid w:val="00373635"/>
    <w:rsid w:val="003763A6"/>
    <w:rsid w:val="003806E4"/>
    <w:rsid w:val="00382E59"/>
    <w:rsid w:val="00384F8E"/>
    <w:rsid w:val="0038520B"/>
    <w:rsid w:val="00385666"/>
    <w:rsid w:val="00385938"/>
    <w:rsid w:val="003902AC"/>
    <w:rsid w:val="003945A7"/>
    <w:rsid w:val="003955BF"/>
    <w:rsid w:val="00396B78"/>
    <w:rsid w:val="003A05C8"/>
    <w:rsid w:val="003A07E0"/>
    <w:rsid w:val="003A0AE0"/>
    <w:rsid w:val="003A2320"/>
    <w:rsid w:val="003A442F"/>
    <w:rsid w:val="003A6896"/>
    <w:rsid w:val="003A7473"/>
    <w:rsid w:val="003A7489"/>
    <w:rsid w:val="003B3433"/>
    <w:rsid w:val="003B5491"/>
    <w:rsid w:val="003C1307"/>
    <w:rsid w:val="003C2387"/>
    <w:rsid w:val="003C3271"/>
    <w:rsid w:val="003C45E0"/>
    <w:rsid w:val="003C64DF"/>
    <w:rsid w:val="003D127B"/>
    <w:rsid w:val="003F28A1"/>
    <w:rsid w:val="003F32BE"/>
    <w:rsid w:val="003F3C90"/>
    <w:rsid w:val="003F46D6"/>
    <w:rsid w:val="00402CA9"/>
    <w:rsid w:val="00402E21"/>
    <w:rsid w:val="004037D8"/>
    <w:rsid w:val="0040461A"/>
    <w:rsid w:val="004105C9"/>
    <w:rsid w:val="00411ECE"/>
    <w:rsid w:val="00411F9E"/>
    <w:rsid w:val="004137FC"/>
    <w:rsid w:val="00413BC9"/>
    <w:rsid w:val="004149F3"/>
    <w:rsid w:val="00420559"/>
    <w:rsid w:val="0042346D"/>
    <w:rsid w:val="00423E42"/>
    <w:rsid w:val="004270D8"/>
    <w:rsid w:val="00427FDD"/>
    <w:rsid w:val="00433C76"/>
    <w:rsid w:val="00440B50"/>
    <w:rsid w:val="004432C3"/>
    <w:rsid w:val="00446586"/>
    <w:rsid w:val="00453177"/>
    <w:rsid w:val="00455902"/>
    <w:rsid w:val="00456D78"/>
    <w:rsid w:val="00457579"/>
    <w:rsid w:val="00460623"/>
    <w:rsid w:val="00461DC3"/>
    <w:rsid w:val="00465E74"/>
    <w:rsid w:val="00470BBF"/>
    <w:rsid w:val="00471933"/>
    <w:rsid w:val="00473BDC"/>
    <w:rsid w:val="0047684C"/>
    <w:rsid w:val="0048045A"/>
    <w:rsid w:val="00481458"/>
    <w:rsid w:val="004815B5"/>
    <w:rsid w:val="00482E43"/>
    <w:rsid w:val="00482F78"/>
    <w:rsid w:val="00483695"/>
    <w:rsid w:val="00484C82"/>
    <w:rsid w:val="00485DE6"/>
    <w:rsid w:val="00487172"/>
    <w:rsid w:val="00492E24"/>
    <w:rsid w:val="00493B48"/>
    <w:rsid w:val="00493E0A"/>
    <w:rsid w:val="00493F56"/>
    <w:rsid w:val="00494920"/>
    <w:rsid w:val="004951F3"/>
    <w:rsid w:val="004969DC"/>
    <w:rsid w:val="00496E02"/>
    <w:rsid w:val="00497CF0"/>
    <w:rsid w:val="00497D1F"/>
    <w:rsid w:val="004A0CFE"/>
    <w:rsid w:val="004A0F48"/>
    <w:rsid w:val="004B2475"/>
    <w:rsid w:val="004B2B07"/>
    <w:rsid w:val="004B39E0"/>
    <w:rsid w:val="004B4401"/>
    <w:rsid w:val="004B57B1"/>
    <w:rsid w:val="004B7B00"/>
    <w:rsid w:val="004C123A"/>
    <w:rsid w:val="004C2481"/>
    <w:rsid w:val="004C451B"/>
    <w:rsid w:val="004C7144"/>
    <w:rsid w:val="004D14C9"/>
    <w:rsid w:val="004D20E2"/>
    <w:rsid w:val="004D2255"/>
    <w:rsid w:val="004D59FA"/>
    <w:rsid w:val="004E0701"/>
    <w:rsid w:val="004E552D"/>
    <w:rsid w:val="004E7DA7"/>
    <w:rsid w:val="004E7DAB"/>
    <w:rsid w:val="004F0623"/>
    <w:rsid w:val="004F2939"/>
    <w:rsid w:val="004F2CE8"/>
    <w:rsid w:val="005001EE"/>
    <w:rsid w:val="0050197C"/>
    <w:rsid w:val="00502D0C"/>
    <w:rsid w:val="00504C1C"/>
    <w:rsid w:val="00507DE2"/>
    <w:rsid w:val="00510021"/>
    <w:rsid w:val="00514C85"/>
    <w:rsid w:val="005170B0"/>
    <w:rsid w:val="00517D8A"/>
    <w:rsid w:val="00520605"/>
    <w:rsid w:val="0052184F"/>
    <w:rsid w:val="005267FD"/>
    <w:rsid w:val="00531356"/>
    <w:rsid w:val="00531438"/>
    <w:rsid w:val="0053169E"/>
    <w:rsid w:val="00533C2F"/>
    <w:rsid w:val="005340F3"/>
    <w:rsid w:val="005350A3"/>
    <w:rsid w:val="00536020"/>
    <w:rsid w:val="00545BDA"/>
    <w:rsid w:val="005465D6"/>
    <w:rsid w:val="005504A9"/>
    <w:rsid w:val="00553330"/>
    <w:rsid w:val="00561914"/>
    <w:rsid w:val="00561BE4"/>
    <w:rsid w:val="005622EB"/>
    <w:rsid w:val="00564E4C"/>
    <w:rsid w:val="00566E48"/>
    <w:rsid w:val="00570936"/>
    <w:rsid w:val="0057279E"/>
    <w:rsid w:val="00573A17"/>
    <w:rsid w:val="00582260"/>
    <w:rsid w:val="00583378"/>
    <w:rsid w:val="00590E6B"/>
    <w:rsid w:val="005A0716"/>
    <w:rsid w:val="005A0EB3"/>
    <w:rsid w:val="005A23E9"/>
    <w:rsid w:val="005A24C7"/>
    <w:rsid w:val="005A5EFC"/>
    <w:rsid w:val="005B1382"/>
    <w:rsid w:val="005B1455"/>
    <w:rsid w:val="005B162E"/>
    <w:rsid w:val="005B1B8D"/>
    <w:rsid w:val="005B2CB1"/>
    <w:rsid w:val="005C2D5D"/>
    <w:rsid w:val="005C2E22"/>
    <w:rsid w:val="005C2FAC"/>
    <w:rsid w:val="005C3BA0"/>
    <w:rsid w:val="005C41C9"/>
    <w:rsid w:val="005C4AA8"/>
    <w:rsid w:val="005C59E0"/>
    <w:rsid w:val="005D0FB2"/>
    <w:rsid w:val="005D2131"/>
    <w:rsid w:val="005D36A2"/>
    <w:rsid w:val="005D50E8"/>
    <w:rsid w:val="005D5EE3"/>
    <w:rsid w:val="005E0F55"/>
    <w:rsid w:val="005E276A"/>
    <w:rsid w:val="005E4F0B"/>
    <w:rsid w:val="005F5D7C"/>
    <w:rsid w:val="00600B5B"/>
    <w:rsid w:val="0060267F"/>
    <w:rsid w:val="00605CDA"/>
    <w:rsid w:val="00606223"/>
    <w:rsid w:val="00606966"/>
    <w:rsid w:val="00610F5A"/>
    <w:rsid w:val="0061175F"/>
    <w:rsid w:val="006118C9"/>
    <w:rsid w:val="00612769"/>
    <w:rsid w:val="006143F4"/>
    <w:rsid w:val="006145F6"/>
    <w:rsid w:val="006160CB"/>
    <w:rsid w:val="006211A3"/>
    <w:rsid w:val="00621808"/>
    <w:rsid w:val="00623682"/>
    <w:rsid w:val="00625338"/>
    <w:rsid w:val="006265D4"/>
    <w:rsid w:val="0062677A"/>
    <w:rsid w:val="00626979"/>
    <w:rsid w:val="00631AFB"/>
    <w:rsid w:val="00633227"/>
    <w:rsid w:val="00633A27"/>
    <w:rsid w:val="006420CE"/>
    <w:rsid w:val="00642539"/>
    <w:rsid w:val="00647970"/>
    <w:rsid w:val="006479F5"/>
    <w:rsid w:val="00652918"/>
    <w:rsid w:val="00653DFE"/>
    <w:rsid w:val="00654396"/>
    <w:rsid w:val="0065466E"/>
    <w:rsid w:val="00662503"/>
    <w:rsid w:val="00662B97"/>
    <w:rsid w:val="00666CDE"/>
    <w:rsid w:val="00667E43"/>
    <w:rsid w:val="00671052"/>
    <w:rsid w:val="006724C5"/>
    <w:rsid w:val="006731FE"/>
    <w:rsid w:val="0067376B"/>
    <w:rsid w:val="00677E01"/>
    <w:rsid w:val="00681E65"/>
    <w:rsid w:val="00682E62"/>
    <w:rsid w:val="0068408F"/>
    <w:rsid w:val="0068524D"/>
    <w:rsid w:val="00685B23"/>
    <w:rsid w:val="0069297E"/>
    <w:rsid w:val="0069473A"/>
    <w:rsid w:val="00695588"/>
    <w:rsid w:val="006A0346"/>
    <w:rsid w:val="006A3070"/>
    <w:rsid w:val="006A3831"/>
    <w:rsid w:val="006A5D92"/>
    <w:rsid w:val="006A6F64"/>
    <w:rsid w:val="006A7BB7"/>
    <w:rsid w:val="006B085A"/>
    <w:rsid w:val="006B3285"/>
    <w:rsid w:val="006B3EA4"/>
    <w:rsid w:val="006B412B"/>
    <w:rsid w:val="006B63B7"/>
    <w:rsid w:val="006B718C"/>
    <w:rsid w:val="006C2F5C"/>
    <w:rsid w:val="006C35B5"/>
    <w:rsid w:val="006C475F"/>
    <w:rsid w:val="006C4C12"/>
    <w:rsid w:val="006D0EFC"/>
    <w:rsid w:val="006D6D50"/>
    <w:rsid w:val="006E1C1C"/>
    <w:rsid w:val="006E29C5"/>
    <w:rsid w:val="006E3789"/>
    <w:rsid w:val="006E4F27"/>
    <w:rsid w:val="006E76E3"/>
    <w:rsid w:val="006F34C9"/>
    <w:rsid w:val="006F3BB5"/>
    <w:rsid w:val="006F3D6C"/>
    <w:rsid w:val="00700157"/>
    <w:rsid w:val="0070160A"/>
    <w:rsid w:val="0070301F"/>
    <w:rsid w:val="007032C0"/>
    <w:rsid w:val="00703EF5"/>
    <w:rsid w:val="00706C85"/>
    <w:rsid w:val="00707A25"/>
    <w:rsid w:val="007141BF"/>
    <w:rsid w:val="007161D2"/>
    <w:rsid w:val="007240E4"/>
    <w:rsid w:val="0072668A"/>
    <w:rsid w:val="007276B8"/>
    <w:rsid w:val="00733A7C"/>
    <w:rsid w:val="0073409E"/>
    <w:rsid w:val="0073466E"/>
    <w:rsid w:val="00735088"/>
    <w:rsid w:val="007364AB"/>
    <w:rsid w:val="0074034A"/>
    <w:rsid w:val="00745C68"/>
    <w:rsid w:val="00746A78"/>
    <w:rsid w:val="007473EA"/>
    <w:rsid w:val="0075026C"/>
    <w:rsid w:val="00756A1E"/>
    <w:rsid w:val="0075771D"/>
    <w:rsid w:val="0076041F"/>
    <w:rsid w:val="007625E2"/>
    <w:rsid w:val="00763B09"/>
    <w:rsid w:val="0076457D"/>
    <w:rsid w:val="00766DCD"/>
    <w:rsid w:val="00770A76"/>
    <w:rsid w:val="0077189B"/>
    <w:rsid w:val="00773F6A"/>
    <w:rsid w:val="0077653F"/>
    <w:rsid w:val="00776541"/>
    <w:rsid w:val="00781099"/>
    <w:rsid w:val="00781EA5"/>
    <w:rsid w:val="00782554"/>
    <w:rsid w:val="00785AC8"/>
    <w:rsid w:val="0079094F"/>
    <w:rsid w:val="00792772"/>
    <w:rsid w:val="00793768"/>
    <w:rsid w:val="00793C43"/>
    <w:rsid w:val="00794A4E"/>
    <w:rsid w:val="007A353B"/>
    <w:rsid w:val="007A410B"/>
    <w:rsid w:val="007A5391"/>
    <w:rsid w:val="007A62BC"/>
    <w:rsid w:val="007B1F29"/>
    <w:rsid w:val="007B3D85"/>
    <w:rsid w:val="007B6B35"/>
    <w:rsid w:val="007C1C33"/>
    <w:rsid w:val="007C5571"/>
    <w:rsid w:val="007C7635"/>
    <w:rsid w:val="007C7D27"/>
    <w:rsid w:val="007D218F"/>
    <w:rsid w:val="007D3C7D"/>
    <w:rsid w:val="007D4781"/>
    <w:rsid w:val="007D6983"/>
    <w:rsid w:val="007D7C99"/>
    <w:rsid w:val="007E0074"/>
    <w:rsid w:val="007E6B3C"/>
    <w:rsid w:val="007F279F"/>
    <w:rsid w:val="007F3A4C"/>
    <w:rsid w:val="007F3C14"/>
    <w:rsid w:val="007F5320"/>
    <w:rsid w:val="007F5B33"/>
    <w:rsid w:val="00802DAC"/>
    <w:rsid w:val="00806B6C"/>
    <w:rsid w:val="008111F7"/>
    <w:rsid w:val="008112A1"/>
    <w:rsid w:val="00814808"/>
    <w:rsid w:val="00815884"/>
    <w:rsid w:val="00826F68"/>
    <w:rsid w:val="00840566"/>
    <w:rsid w:val="008411AE"/>
    <w:rsid w:val="00842446"/>
    <w:rsid w:val="008426F1"/>
    <w:rsid w:val="0084276C"/>
    <w:rsid w:val="008433B5"/>
    <w:rsid w:val="0084345F"/>
    <w:rsid w:val="00843AB4"/>
    <w:rsid w:val="00850A43"/>
    <w:rsid w:val="00851415"/>
    <w:rsid w:val="00852A4D"/>
    <w:rsid w:val="00853A0E"/>
    <w:rsid w:val="00854C3C"/>
    <w:rsid w:val="00855561"/>
    <w:rsid w:val="00857AAF"/>
    <w:rsid w:val="00860689"/>
    <w:rsid w:val="00861A24"/>
    <w:rsid w:val="008622B5"/>
    <w:rsid w:val="00864B3C"/>
    <w:rsid w:val="008677A5"/>
    <w:rsid w:val="00870391"/>
    <w:rsid w:val="00871AD1"/>
    <w:rsid w:val="00873E0A"/>
    <w:rsid w:val="00874812"/>
    <w:rsid w:val="008748EF"/>
    <w:rsid w:val="00874955"/>
    <w:rsid w:val="00876037"/>
    <w:rsid w:val="008820BD"/>
    <w:rsid w:val="00886F21"/>
    <w:rsid w:val="00893B42"/>
    <w:rsid w:val="00894990"/>
    <w:rsid w:val="00894D31"/>
    <w:rsid w:val="00895629"/>
    <w:rsid w:val="00897EE4"/>
    <w:rsid w:val="008A0640"/>
    <w:rsid w:val="008A0A58"/>
    <w:rsid w:val="008A4B20"/>
    <w:rsid w:val="008A6067"/>
    <w:rsid w:val="008A621A"/>
    <w:rsid w:val="008A71D6"/>
    <w:rsid w:val="008B1474"/>
    <w:rsid w:val="008B182B"/>
    <w:rsid w:val="008B3D39"/>
    <w:rsid w:val="008B5E36"/>
    <w:rsid w:val="008B6B41"/>
    <w:rsid w:val="008B6F86"/>
    <w:rsid w:val="008B7C1A"/>
    <w:rsid w:val="008C0577"/>
    <w:rsid w:val="008C2D10"/>
    <w:rsid w:val="008C3C5D"/>
    <w:rsid w:val="008C7469"/>
    <w:rsid w:val="008D0EA9"/>
    <w:rsid w:val="008D6913"/>
    <w:rsid w:val="008E1FC9"/>
    <w:rsid w:val="008E50A5"/>
    <w:rsid w:val="008E612F"/>
    <w:rsid w:val="008E6693"/>
    <w:rsid w:val="008F0EDE"/>
    <w:rsid w:val="008F461F"/>
    <w:rsid w:val="008F4809"/>
    <w:rsid w:val="008F50EC"/>
    <w:rsid w:val="009003BC"/>
    <w:rsid w:val="009007D3"/>
    <w:rsid w:val="00901504"/>
    <w:rsid w:val="009041E9"/>
    <w:rsid w:val="0091020F"/>
    <w:rsid w:val="00911813"/>
    <w:rsid w:val="009131E1"/>
    <w:rsid w:val="00921471"/>
    <w:rsid w:val="00922161"/>
    <w:rsid w:val="00925552"/>
    <w:rsid w:val="009264CF"/>
    <w:rsid w:val="00934095"/>
    <w:rsid w:val="00934AB4"/>
    <w:rsid w:val="009417CD"/>
    <w:rsid w:val="00946C9A"/>
    <w:rsid w:val="00950094"/>
    <w:rsid w:val="009502B5"/>
    <w:rsid w:val="00952D17"/>
    <w:rsid w:val="00955606"/>
    <w:rsid w:val="00957B01"/>
    <w:rsid w:val="00960978"/>
    <w:rsid w:val="00961160"/>
    <w:rsid w:val="00965E45"/>
    <w:rsid w:val="00972571"/>
    <w:rsid w:val="0097406A"/>
    <w:rsid w:val="00981707"/>
    <w:rsid w:val="00982528"/>
    <w:rsid w:val="009833E8"/>
    <w:rsid w:val="00983CC9"/>
    <w:rsid w:val="0098429E"/>
    <w:rsid w:val="0098574D"/>
    <w:rsid w:val="00992568"/>
    <w:rsid w:val="0099403C"/>
    <w:rsid w:val="009945A7"/>
    <w:rsid w:val="009A42B5"/>
    <w:rsid w:val="009A502B"/>
    <w:rsid w:val="009B0279"/>
    <w:rsid w:val="009B1EF4"/>
    <w:rsid w:val="009B4530"/>
    <w:rsid w:val="009B4E4B"/>
    <w:rsid w:val="009D2B8B"/>
    <w:rsid w:val="009D3608"/>
    <w:rsid w:val="009D4651"/>
    <w:rsid w:val="009D5546"/>
    <w:rsid w:val="009E1805"/>
    <w:rsid w:val="009E1EDA"/>
    <w:rsid w:val="009F4E2D"/>
    <w:rsid w:val="009F5AC8"/>
    <w:rsid w:val="00A00645"/>
    <w:rsid w:val="00A01B71"/>
    <w:rsid w:val="00A05893"/>
    <w:rsid w:val="00A079F2"/>
    <w:rsid w:val="00A119BC"/>
    <w:rsid w:val="00A148CD"/>
    <w:rsid w:val="00A15B71"/>
    <w:rsid w:val="00A17134"/>
    <w:rsid w:val="00A1750D"/>
    <w:rsid w:val="00A2369A"/>
    <w:rsid w:val="00A241EC"/>
    <w:rsid w:val="00A24433"/>
    <w:rsid w:val="00A26606"/>
    <w:rsid w:val="00A312AE"/>
    <w:rsid w:val="00A35BE0"/>
    <w:rsid w:val="00A35D5C"/>
    <w:rsid w:val="00A41A26"/>
    <w:rsid w:val="00A41ACE"/>
    <w:rsid w:val="00A442F3"/>
    <w:rsid w:val="00A5063E"/>
    <w:rsid w:val="00A57EAD"/>
    <w:rsid w:val="00A60FBB"/>
    <w:rsid w:val="00A6472A"/>
    <w:rsid w:val="00A67512"/>
    <w:rsid w:val="00A7043B"/>
    <w:rsid w:val="00A72A93"/>
    <w:rsid w:val="00A8109A"/>
    <w:rsid w:val="00A82890"/>
    <w:rsid w:val="00A8432E"/>
    <w:rsid w:val="00A851C2"/>
    <w:rsid w:val="00A87756"/>
    <w:rsid w:val="00A9008C"/>
    <w:rsid w:val="00A92B9E"/>
    <w:rsid w:val="00A959D3"/>
    <w:rsid w:val="00AA0579"/>
    <w:rsid w:val="00AA119A"/>
    <w:rsid w:val="00AA23B3"/>
    <w:rsid w:val="00AA3922"/>
    <w:rsid w:val="00AA5E5A"/>
    <w:rsid w:val="00AB1547"/>
    <w:rsid w:val="00AB24A5"/>
    <w:rsid w:val="00AB29E4"/>
    <w:rsid w:val="00AB4E92"/>
    <w:rsid w:val="00AB5247"/>
    <w:rsid w:val="00AB7603"/>
    <w:rsid w:val="00AC0E16"/>
    <w:rsid w:val="00AC123E"/>
    <w:rsid w:val="00AC1E2A"/>
    <w:rsid w:val="00AC2843"/>
    <w:rsid w:val="00AC57C5"/>
    <w:rsid w:val="00AC5A96"/>
    <w:rsid w:val="00AD021E"/>
    <w:rsid w:val="00AD5C33"/>
    <w:rsid w:val="00AE20BB"/>
    <w:rsid w:val="00AE2F59"/>
    <w:rsid w:val="00AE40F7"/>
    <w:rsid w:val="00AE41F1"/>
    <w:rsid w:val="00AE6884"/>
    <w:rsid w:val="00AE6917"/>
    <w:rsid w:val="00AF3729"/>
    <w:rsid w:val="00AF4259"/>
    <w:rsid w:val="00AF6C7E"/>
    <w:rsid w:val="00AF6CBF"/>
    <w:rsid w:val="00AF7C74"/>
    <w:rsid w:val="00B03CEE"/>
    <w:rsid w:val="00B05259"/>
    <w:rsid w:val="00B06789"/>
    <w:rsid w:val="00B068D7"/>
    <w:rsid w:val="00B10CC2"/>
    <w:rsid w:val="00B11FD0"/>
    <w:rsid w:val="00B131C7"/>
    <w:rsid w:val="00B137D9"/>
    <w:rsid w:val="00B13920"/>
    <w:rsid w:val="00B14750"/>
    <w:rsid w:val="00B16A7B"/>
    <w:rsid w:val="00B22848"/>
    <w:rsid w:val="00B22D45"/>
    <w:rsid w:val="00B30FDE"/>
    <w:rsid w:val="00B33764"/>
    <w:rsid w:val="00B35D37"/>
    <w:rsid w:val="00B3664B"/>
    <w:rsid w:val="00B36D0B"/>
    <w:rsid w:val="00B43B99"/>
    <w:rsid w:val="00B44015"/>
    <w:rsid w:val="00B51192"/>
    <w:rsid w:val="00B529C6"/>
    <w:rsid w:val="00B54D3A"/>
    <w:rsid w:val="00B556A3"/>
    <w:rsid w:val="00B60AE1"/>
    <w:rsid w:val="00B611B4"/>
    <w:rsid w:val="00B646E8"/>
    <w:rsid w:val="00B70283"/>
    <w:rsid w:val="00B72DB3"/>
    <w:rsid w:val="00B72FF2"/>
    <w:rsid w:val="00B74E2F"/>
    <w:rsid w:val="00B758B6"/>
    <w:rsid w:val="00B80629"/>
    <w:rsid w:val="00B815FB"/>
    <w:rsid w:val="00B820C9"/>
    <w:rsid w:val="00B82CF9"/>
    <w:rsid w:val="00B84D6F"/>
    <w:rsid w:val="00B85BA3"/>
    <w:rsid w:val="00B86098"/>
    <w:rsid w:val="00B86A57"/>
    <w:rsid w:val="00B92500"/>
    <w:rsid w:val="00B95F15"/>
    <w:rsid w:val="00B9635C"/>
    <w:rsid w:val="00B97568"/>
    <w:rsid w:val="00BA059A"/>
    <w:rsid w:val="00BA2926"/>
    <w:rsid w:val="00BA68A7"/>
    <w:rsid w:val="00BA6C36"/>
    <w:rsid w:val="00BA7F61"/>
    <w:rsid w:val="00BB54C1"/>
    <w:rsid w:val="00BC3FF1"/>
    <w:rsid w:val="00BC6339"/>
    <w:rsid w:val="00BC7CB1"/>
    <w:rsid w:val="00BD0D22"/>
    <w:rsid w:val="00BD1DAF"/>
    <w:rsid w:val="00BD57F1"/>
    <w:rsid w:val="00BD5C71"/>
    <w:rsid w:val="00BD79EA"/>
    <w:rsid w:val="00BE0D1B"/>
    <w:rsid w:val="00BE129B"/>
    <w:rsid w:val="00BE1D81"/>
    <w:rsid w:val="00BF01C0"/>
    <w:rsid w:val="00BF1B15"/>
    <w:rsid w:val="00BF1EB4"/>
    <w:rsid w:val="00BF2864"/>
    <w:rsid w:val="00BF2DD8"/>
    <w:rsid w:val="00BF3896"/>
    <w:rsid w:val="00BF4318"/>
    <w:rsid w:val="00C000E6"/>
    <w:rsid w:val="00C0159B"/>
    <w:rsid w:val="00C022EA"/>
    <w:rsid w:val="00C02656"/>
    <w:rsid w:val="00C038A5"/>
    <w:rsid w:val="00C07BA9"/>
    <w:rsid w:val="00C10454"/>
    <w:rsid w:val="00C10C8F"/>
    <w:rsid w:val="00C122A8"/>
    <w:rsid w:val="00C14DD9"/>
    <w:rsid w:val="00C156CB"/>
    <w:rsid w:val="00C20C4E"/>
    <w:rsid w:val="00C24E53"/>
    <w:rsid w:val="00C334D2"/>
    <w:rsid w:val="00C344AE"/>
    <w:rsid w:val="00C34B48"/>
    <w:rsid w:val="00C356D3"/>
    <w:rsid w:val="00C36780"/>
    <w:rsid w:val="00C43077"/>
    <w:rsid w:val="00C440FA"/>
    <w:rsid w:val="00C50F8C"/>
    <w:rsid w:val="00C52AF8"/>
    <w:rsid w:val="00C55C20"/>
    <w:rsid w:val="00C55E1D"/>
    <w:rsid w:val="00C610BA"/>
    <w:rsid w:val="00C64B88"/>
    <w:rsid w:val="00C67B5C"/>
    <w:rsid w:val="00C703FF"/>
    <w:rsid w:val="00C749E1"/>
    <w:rsid w:val="00C81F26"/>
    <w:rsid w:val="00C81F6B"/>
    <w:rsid w:val="00C827A7"/>
    <w:rsid w:val="00C83228"/>
    <w:rsid w:val="00C83874"/>
    <w:rsid w:val="00C863BD"/>
    <w:rsid w:val="00C8798F"/>
    <w:rsid w:val="00C91A02"/>
    <w:rsid w:val="00C920A0"/>
    <w:rsid w:val="00C929F3"/>
    <w:rsid w:val="00CA13F6"/>
    <w:rsid w:val="00CA140F"/>
    <w:rsid w:val="00CA36FA"/>
    <w:rsid w:val="00CA4DB3"/>
    <w:rsid w:val="00CA5928"/>
    <w:rsid w:val="00CB0346"/>
    <w:rsid w:val="00CB1F30"/>
    <w:rsid w:val="00CB4090"/>
    <w:rsid w:val="00CC044F"/>
    <w:rsid w:val="00CC0E5F"/>
    <w:rsid w:val="00CC0FB0"/>
    <w:rsid w:val="00CC2231"/>
    <w:rsid w:val="00CC36B8"/>
    <w:rsid w:val="00CC3D0F"/>
    <w:rsid w:val="00CC5090"/>
    <w:rsid w:val="00CC5FCD"/>
    <w:rsid w:val="00CC70C1"/>
    <w:rsid w:val="00CD3CA3"/>
    <w:rsid w:val="00CD5B61"/>
    <w:rsid w:val="00CD5C65"/>
    <w:rsid w:val="00CD74FB"/>
    <w:rsid w:val="00CE281E"/>
    <w:rsid w:val="00CE59DC"/>
    <w:rsid w:val="00CE64DB"/>
    <w:rsid w:val="00CF2165"/>
    <w:rsid w:val="00CF2795"/>
    <w:rsid w:val="00CF4247"/>
    <w:rsid w:val="00D010B8"/>
    <w:rsid w:val="00D01AAA"/>
    <w:rsid w:val="00D01E5E"/>
    <w:rsid w:val="00D01EC3"/>
    <w:rsid w:val="00D020F7"/>
    <w:rsid w:val="00D04614"/>
    <w:rsid w:val="00D05416"/>
    <w:rsid w:val="00D06239"/>
    <w:rsid w:val="00D06C17"/>
    <w:rsid w:val="00D1448B"/>
    <w:rsid w:val="00D166BC"/>
    <w:rsid w:val="00D17AC6"/>
    <w:rsid w:val="00D268E4"/>
    <w:rsid w:val="00D27DF5"/>
    <w:rsid w:val="00D347AA"/>
    <w:rsid w:val="00D41494"/>
    <w:rsid w:val="00D42864"/>
    <w:rsid w:val="00D45620"/>
    <w:rsid w:val="00D4764E"/>
    <w:rsid w:val="00D47BD0"/>
    <w:rsid w:val="00D50453"/>
    <w:rsid w:val="00D50C60"/>
    <w:rsid w:val="00D50DCC"/>
    <w:rsid w:val="00D51EE0"/>
    <w:rsid w:val="00D57850"/>
    <w:rsid w:val="00D626BD"/>
    <w:rsid w:val="00D65968"/>
    <w:rsid w:val="00D716B8"/>
    <w:rsid w:val="00D71CEB"/>
    <w:rsid w:val="00D71DAA"/>
    <w:rsid w:val="00D75C6F"/>
    <w:rsid w:val="00D80A07"/>
    <w:rsid w:val="00D81A53"/>
    <w:rsid w:val="00D8355C"/>
    <w:rsid w:val="00D85C57"/>
    <w:rsid w:val="00D92F7D"/>
    <w:rsid w:val="00D96AC1"/>
    <w:rsid w:val="00DA20F3"/>
    <w:rsid w:val="00DA5275"/>
    <w:rsid w:val="00DA769B"/>
    <w:rsid w:val="00DA7CCB"/>
    <w:rsid w:val="00DB2EC6"/>
    <w:rsid w:val="00DB463B"/>
    <w:rsid w:val="00DB623C"/>
    <w:rsid w:val="00DB7925"/>
    <w:rsid w:val="00DC2EA5"/>
    <w:rsid w:val="00DD20E6"/>
    <w:rsid w:val="00DD257B"/>
    <w:rsid w:val="00DE21FE"/>
    <w:rsid w:val="00DE2FD1"/>
    <w:rsid w:val="00DF0006"/>
    <w:rsid w:val="00DF1AB1"/>
    <w:rsid w:val="00DF20B5"/>
    <w:rsid w:val="00DF23EE"/>
    <w:rsid w:val="00DF48A8"/>
    <w:rsid w:val="00DF562B"/>
    <w:rsid w:val="00DF5AF4"/>
    <w:rsid w:val="00E03269"/>
    <w:rsid w:val="00E1075A"/>
    <w:rsid w:val="00E10CBC"/>
    <w:rsid w:val="00E116B0"/>
    <w:rsid w:val="00E125FD"/>
    <w:rsid w:val="00E12F45"/>
    <w:rsid w:val="00E13F05"/>
    <w:rsid w:val="00E1649D"/>
    <w:rsid w:val="00E16DF4"/>
    <w:rsid w:val="00E21D75"/>
    <w:rsid w:val="00E21DD8"/>
    <w:rsid w:val="00E21E63"/>
    <w:rsid w:val="00E22353"/>
    <w:rsid w:val="00E226EB"/>
    <w:rsid w:val="00E2741B"/>
    <w:rsid w:val="00E327B7"/>
    <w:rsid w:val="00E3328C"/>
    <w:rsid w:val="00E35FAE"/>
    <w:rsid w:val="00E4055D"/>
    <w:rsid w:val="00E43CB9"/>
    <w:rsid w:val="00E45AFE"/>
    <w:rsid w:val="00E47266"/>
    <w:rsid w:val="00E47785"/>
    <w:rsid w:val="00E51993"/>
    <w:rsid w:val="00E52AE2"/>
    <w:rsid w:val="00E5739A"/>
    <w:rsid w:val="00E618A5"/>
    <w:rsid w:val="00E62043"/>
    <w:rsid w:val="00E643E6"/>
    <w:rsid w:val="00E65D4A"/>
    <w:rsid w:val="00E67F54"/>
    <w:rsid w:val="00E7184A"/>
    <w:rsid w:val="00E72D1E"/>
    <w:rsid w:val="00E7433F"/>
    <w:rsid w:val="00E74EA0"/>
    <w:rsid w:val="00E77F52"/>
    <w:rsid w:val="00E835C6"/>
    <w:rsid w:val="00E84FEC"/>
    <w:rsid w:val="00E85802"/>
    <w:rsid w:val="00E85949"/>
    <w:rsid w:val="00E87A6E"/>
    <w:rsid w:val="00E90154"/>
    <w:rsid w:val="00E9177D"/>
    <w:rsid w:val="00E919C0"/>
    <w:rsid w:val="00E94D14"/>
    <w:rsid w:val="00E961B9"/>
    <w:rsid w:val="00EA52B8"/>
    <w:rsid w:val="00EB3A84"/>
    <w:rsid w:val="00EB7719"/>
    <w:rsid w:val="00EC0102"/>
    <w:rsid w:val="00EC0A7A"/>
    <w:rsid w:val="00EC37D6"/>
    <w:rsid w:val="00EC4241"/>
    <w:rsid w:val="00ED1B49"/>
    <w:rsid w:val="00ED493E"/>
    <w:rsid w:val="00ED4EEA"/>
    <w:rsid w:val="00ED5516"/>
    <w:rsid w:val="00ED77A9"/>
    <w:rsid w:val="00EE192C"/>
    <w:rsid w:val="00EE5222"/>
    <w:rsid w:val="00EE7117"/>
    <w:rsid w:val="00EF136F"/>
    <w:rsid w:val="00EF36B0"/>
    <w:rsid w:val="00EF4999"/>
    <w:rsid w:val="00EF4CBB"/>
    <w:rsid w:val="00EF59C1"/>
    <w:rsid w:val="00F11DC1"/>
    <w:rsid w:val="00F14432"/>
    <w:rsid w:val="00F20867"/>
    <w:rsid w:val="00F20978"/>
    <w:rsid w:val="00F2225A"/>
    <w:rsid w:val="00F23399"/>
    <w:rsid w:val="00F23AA5"/>
    <w:rsid w:val="00F25C5D"/>
    <w:rsid w:val="00F27613"/>
    <w:rsid w:val="00F30F49"/>
    <w:rsid w:val="00F32A64"/>
    <w:rsid w:val="00F32AFB"/>
    <w:rsid w:val="00F335CD"/>
    <w:rsid w:val="00F33ED2"/>
    <w:rsid w:val="00F343C1"/>
    <w:rsid w:val="00F35CAB"/>
    <w:rsid w:val="00F425A9"/>
    <w:rsid w:val="00F42F50"/>
    <w:rsid w:val="00F43516"/>
    <w:rsid w:val="00F5192A"/>
    <w:rsid w:val="00F522F3"/>
    <w:rsid w:val="00F52D8E"/>
    <w:rsid w:val="00F53FFF"/>
    <w:rsid w:val="00F556C6"/>
    <w:rsid w:val="00F578CD"/>
    <w:rsid w:val="00F57953"/>
    <w:rsid w:val="00F62283"/>
    <w:rsid w:val="00F62311"/>
    <w:rsid w:val="00F634A5"/>
    <w:rsid w:val="00F64E37"/>
    <w:rsid w:val="00F652BA"/>
    <w:rsid w:val="00F65720"/>
    <w:rsid w:val="00F70F97"/>
    <w:rsid w:val="00F71D62"/>
    <w:rsid w:val="00F7511B"/>
    <w:rsid w:val="00F75CB6"/>
    <w:rsid w:val="00F7722D"/>
    <w:rsid w:val="00F812B5"/>
    <w:rsid w:val="00F82F65"/>
    <w:rsid w:val="00F83038"/>
    <w:rsid w:val="00F83403"/>
    <w:rsid w:val="00F835D7"/>
    <w:rsid w:val="00F83953"/>
    <w:rsid w:val="00F84A61"/>
    <w:rsid w:val="00F85A04"/>
    <w:rsid w:val="00FA0A9C"/>
    <w:rsid w:val="00FA172B"/>
    <w:rsid w:val="00FA334A"/>
    <w:rsid w:val="00FA5E20"/>
    <w:rsid w:val="00FB148F"/>
    <w:rsid w:val="00FB1AD0"/>
    <w:rsid w:val="00FB7A2D"/>
    <w:rsid w:val="00FC20E0"/>
    <w:rsid w:val="00FC23E1"/>
    <w:rsid w:val="00FC2ABC"/>
    <w:rsid w:val="00FC2C26"/>
    <w:rsid w:val="00FC3262"/>
    <w:rsid w:val="00FC5771"/>
    <w:rsid w:val="00FC61D5"/>
    <w:rsid w:val="00FC742C"/>
    <w:rsid w:val="00FD00E9"/>
    <w:rsid w:val="00FD12AD"/>
    <w:rsid w:val="00FD3DC7"/>
    <w:rsid w:val="00FD5A27"/>
    <w:rsid w:val="00FD6564"/>
    <w:rsid w:val="00FE1287"/>
    <w:rsid w:val="00FE28F8"/>
    <w:rsid w:val="00FE63F4"/>
    <w:rsid w:val="00FE71EF"/>
    <w:rsid w:val="00FE7C07"/>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92C36"/>
  <w15:chartTrackingRefBased/>
  <w15:docId w15:val="{3E4F2220-F45D-40E9-B262-291E38DD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rPr>
      <w:color w:val="0000FF"/>
      <w:u w:val="single"/>
    </w:rPr>
  </w:style>
  <w:style w:type="character" w:styleId="HiperlinkVisitado">
    <w:name w:val="FollowedHyperlink"/>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basedOn w:val="Normal"/>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character" w:styleId="MenoPendente">
    <w:name w:val="Unresolved Mention"/>
    <w:basedOn w:val="Fontepargpadro"/>
    <w:uiPriority w:val="99"/>
    <w:semiHidden/>
    <w:unhideWhenUsed/>
    <w:rsid w:val="000A5D62"/>
    <w:rPr>
      <w:color w:val="605E5C"/>
      <w:shd w:val="clear" w:color="auto" w:fill="E1DFDD"/>
    </w:rPr>
  </w:style>
  <w:style w:type="character" w:styleId="Refdecomentrio">
    <w:name w:val="annotation reference"/>
    <w:basedOn w:val="Fontepargpadro"/>
    <w:rsid w:val="006E29C5"/>
    <w:rPr>
      <w:sz w:val="16"/>
      <w:szCs w:val="16"/>
    </w:rPr>
  </w:style>
  <w:style w:type="paragraph" w:styleId="Textodecomentrio">
    <w:name w:val="annotation text"/>
    <w:basedOn w:val="Normal"/>
    <w:link w:val="TextodecomentrioChar"/>
    <w:rsid w:val="006E29C5"/>
  </w:style>
  <w:style w:type="character" w:customStyle="1" w:styleId="TextodecomentrioChar">
    <w:name w:val="Texto de comentário Char"/>
    <w:basedOn w:val="Fontepargpadro"/>
    <w:link w:val="Textodecomentrio"/>
    <w:rsid w:val="006E29C5"/>
  </w:style>
  <w:style w:type="paragraph" w:styleId="Assuntodocomentrio">
    <w:name w:val="annotation subject"/>
    <w:basedOn w:val="Textodecomentrio"/>
    <w:next w:val="Textodecomentrio"/>
    <w:link w:val="AssuntodocomentrioChar"/>
    <w:rsid w:val="006E29C5"/>
    <w:rPr>
      <w:b/>
      <w:bCs/>
    </w:rPr>
  </w:style>
  <w:style w:type="character" w:customStyle="1" w:styleId="AssuntodocomentrioChar">
    <w:name w:val="Assunto do comentário Char"/>
    <w:basedOn w:val="TextodecomentrioChar"/>
    <w:link w:val="Assuntodocomentrio"/>
    <w:rsid w:val="006E29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administracao@veracruz.pr.gov.br" TargetMode="External"/><Relationship Id="rId1" Type="http://schemas.openxmlformats.org/officeDocument/2006/relationships/hyperlink" Target="mailto:administracao@veracruz.pr.gov.br" TargetMode="External"/><Relationship Id="rId5" Type="http://schemas.openxmlformats.org/officeDocument/2006/relationships/oleObject" Target="embeddings/oleObject1.bin"/><Relationship Id="rId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82AB-7663-47B3-A71C-77FBE5F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4</TotalTime>
  <Pages>13</Pages>
  <Words>5201</Words>
  <Characters>28091</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33226</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cp:lastModifiedBy>JULIANA ROSALEN</cp:lastModifiedBy>
  <cp:revision>10</cp:revision>
  <cp:lastPrinted>2022-10-18T12:31:00Z</cp:lastPrinted>
  <dcterms:created xsi:type="dcterms:W3CDTF">2026-06-26T14:18:00Z</dcterms:created>
  <dcterms:modified xsi:type="dcterms:W3CDTF">2026-07-02T14:17:00Z</dcterms:modified>
</cp:coreProperties>
</file>